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4C687" w14:textId="36059086" w:rsidR="00B57692" w:rsidRPr="009D3900" w:rsidRDefault="0013174E" w:rsidP="00B5769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="00B57692" w:rsidRPr="009D3900">
        <w:rPr>
          <w:rFonts w:ascii="Times New Roman" w:hAnsi="Times New Roman" w:cs="Times New Roman"/>
          <w:b/>
          <w:color w:val="000000" w:themeColor="text1"/>
        </w:rPr>
        <w:tab/>
      </w:r>
      <w:r w:rsidR="00B57692" w:rsidRPr="009D3900">
        <w:rPr>
          <w:rFonts w:ascii="Times New Roman" w:hAnsi="Times New Roman" w:cs="Times New Roman"/>
          <w:b/>
          <w:color w:val="000000" w:themeColor="text1"/>
        </w:rPr>
        <w:tab/>
      </w:r>
      <w:r w:rsidR="00B57692" w:rsidRPr="009D3900">
        <w:rPr>
          <w:rFonts w:ascii="Times New Roman" w:hAnsi="Times New Roman" w:cs="Times New Roman"/>
          <w:b/>
          <w:color w:val="000000" w:themeColor="text1"/>
        </w:rPr>
        <w:tab/>
      </w:r>
      <w:r w:rsidR="00B57692" w:rsidRPr="009D3900">
        <w:rPr>
          <w:rFonts w:ascii="Times New Roman" w:hAnsi="Times New Roman" w:cs="Times New Roman"/>
          <w:b/>
          <w:color w:val="000000" w:themeColor="text1"/>
        </w:rPr>
        <w:tab/>
      </w:r>
      <w:r w:rsidR="00B57692" w:rsidRPr="009D3900">
        <w:rPr>
          <w:rFonts w:ascii="Times New Roman" w:hAnsi="Times New Roman" w:cs="Times New Roman"/>
          <w:b/>
          <w:color w:val="000000" w:themeColor="text1"/>
        </w:rPr>
        <w:tab/>
      </w:r>
      <w:r w:rsidR="00B57692" w:rsidRPr="009D3900">
        <w:rPr>
          <w:rFonts w:ascii="Times New Roman" w:hAnsi="Times New Roman" w:cs="Times New Roman"/>
          <w:b/>
          <w:color w:val="000000" w:themeColor="text1"/>
        </w:rPr>
        <w:tab/>
      </w:r>
      <w:r w:rsidR="00B57692" w:rsidRPr="009D3900">
        <w:rPr>
          <w:rFonts w:ascii="Times New Roman" w:hAnsi="Times New Roman" w:cs="Times New Roman"/>
          <w:b/>
          <w:color w:val="000000" w:themeColor="text1"/>
        </w:rPr>
        <w:tab/>
      </w:r>
      <w:r w:rsidR="00B57692" w:rsidRPr="009D3900">
        <w:rPr>
          <w:rFonts w:ascii="Times New Roman" w:hAnsi="Times New Roman" w:cs="Times New Roman"/>
          <w:b/>
          <w:color w:val="000000" w:themeColor="text1"/>
        </w:rPr>
        <w:tab/>
        <w:t>Приложение 2</w:t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  <w:color w:val="000000" w:themeColor="text1"/>
        </w:rPr>
        <w:tab/>
      </w:r>
      <w:r w:rsidRPr="009D3900">
        <w:rPr>
          <w:rFonts w:ascii="Times New Roman" w:hAnsi="Times New Roman" w:cs="Times New Roman"/>
          <w:b/>
        </w:rPr>
        <w:t xml:space="preserve"> </w:t>
      </w:r>
    </w:p>
    <w:p w14:paraId="24146A07" w14:textId="11BA235A" w:rsidR="0049482D" w:rsidRPr="009D3900" w:rsidRDefault="00B57692" w:rsidP="00B57692">
      <w:pPr>
        <w:ind w:firstLine="708"/>
        <w:rPr>
          <w:rFonts w:ascii="Times New Roman" w:hAnsi="Times New Roman" w:cs="Times New Roman"/>
          <w:b/>
          <w:bCs/>
        </w:rPr>
      </w:pPr>
      <w:r w:rsidRPr="009D3900">
        <w:rPr>
          <w:rFonts w:ascii="Times New Roman" w:hAnsi="Times New Roman" w:cs="Times New Roman"/>
          <w:b/>
          <w:bCs/>
        </w:rPr>
        <w:t>План ме</w:t>
      </w:r>
      <w:bookmarkStart w:id="0" w:name="_GoBack"/>
      <w:bookmarkEnd w:id="0"/>
      <w:r w:rsidRPr="009D3900">
        <w:rPr>
          <w:rFonts w:ascii="Times New Roman" w:hAnsi="Times New Roman" w:cs="Times New Roman"/>
          <w:b/>
          <w:bCs/>
        </w:rPr>
        <w:t>роприятий по реализации Национальной экспортной программы «Сделано в Кыргызстане» на 2023-2026 годы</w:t>
      </w:r>
    </w:p>
    <w:tbl>
      <w:tblPr>
        <w:tblpPr w:leftFromText="180" w:rightFromText="180" w:vertAnchor="text" w:tblpY="1"/>
        <w:tblOverlap w:val="never"/>
        <w:tblW w:w="144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3118"/>
        <w:gridCol w:w="3402"/>
        <w:gridCol w:w="1701"/>
        <w:gridCol w:w="1843"/>
        <w:gridCol w:w="2268"/>
      </w:tblGrid>
      <w:tr w:rsidR="00B57692" w:rsidRPr="009D3900" w14:paraId="39A274D8" w14:textId="77777777" w:rsidTr="00B57692">
        <w:trPr>
          <w:trHeight w:val="5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B4C60" w14:textId="6C28EC98" w:rsidR="00C35321" w:rsidRPr="009D3900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Задачи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DD1F8" w14:textId="77777777" w:rsidR="00C35321" w:rsidRPr="009D3900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Мероприятия по реализации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1D01CB" w14:textId="77777777" w:rsidR="00C35321" w:rsidRPr="009D3900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Ожидаемые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A9567" w14:textId="77777777" w:rsidR="00C35321" w:rsidRPr="009D3900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Сроки исполнения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23CED" w14:textId="77777777" w:rsidR="00C35321" w:rsidRPr="009D3900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Исполнители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0825E5" w14:textId="77777777" w:rsidR="00C35321" w:rsidRPr="009D3900" w:rsidRDefault="00C35321" w:rsidP="00E462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Ресурсное обеспечение</w:t>
            </w:r>
          </w:p>
        </w:tc>
      </w:tr>
      <w:tr w:rsidR="00C35321" w:rsidRPr="009D3900" w14:paraId="5544EB51" w14:textId="77777777" w:rsidTr="00B57692">
        <w:trPr>
          <w:trHeight w:val="54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A39168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</w:pPr>
          </w:p>
          <w:p w14:paraId="3410BF85" w14:textId="3BDF9834" w:rsidR="003A63E3" w:rsidRPr="009D3900" w:rsidRDefault="00C35321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НАПРАВЛЕНИЕ</w:t>
            </w:r>
            <w:r w:rsidR="009A075F"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 xml:space="preserve"> 1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: ПРОДВИЖЕНИЕ ЭКСПОРТА</w:t>
            </w:r>
          </w:p>
          <w:p w14:paraId="16C6D3BF" w14:textId="77777777" w:rsidR="00E46251" w:rsidRPr="009D3900" w:rsidRDefault="00E46251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</w:pPr>
          </w:p>
          <w:p w14:paraId="3DF0ADB6" w14:textId="654DF525" w:rsidR="0044538C" w:rsidRPr="009D3900" w:rsidRDefault="0044538C" w:rsidP="003A63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57692" w:rsidRPr="009D3900" w14:paraId="2E7E6A82" w14:textId="77777777" w:rsidTr="00B57692">
        <w:trPr>
          <w:trHeight w:val="54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5BEB5E" w14:textId="1DE5CAD6" w:rsidR="00B57692" w:rsidRPr="009D3900" w:rsidRDefault="00B57692" w:rsidP="009A075F">
            <w:pPr>
              <w:shd w:val="clear" w:color="auto" w:fill="FFFFFF"/>
              <w:tabs>
                <w:tab w:val="left" w:pos="21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Цель</w:t>
            </w:r>
            <w:r w:rsidR="009A075F"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="009A075F"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Создание эффективной экосистемы продвижения экспорта и развития экспортного потенциала</w:t>
            </w:r>
          </w:p>
          <w:p w14:paraId="6B6C22C2" w14:textId="5FDB9E7C" w:rsidR="00981614" w:rsidRPr="009D3900" w:rsidRDefault="00981614" w:rsidP="009A075F">
            <w:pPr>
              <w:shd w:val="clear" w:color="auto" w:fill="FFFFFF"/>
              <w:tabs>
                <w:tab w:val="left" w:pos="21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57692" w:rsidRPr="009D3900" w14:paraId="5592A0B9" w14:textId="77777777" w:rsidTr="00B57692">
        <w:trPr>
          <w:trHeight w:val="881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1DE3B" w14:textId="6659011C" w:rsidR="0044538C" w:rsidRPr="009D3900" w:rsidRDefault="009A075F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Задача 1.1.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Усиление государственных механизмов по продвижению экспорта</w:t>
            </w:r>
          </w:p>
          <w:p w14:paraId="09E76CEE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AA4BB" w14:textId="7AF87B19" w:rsidR="0044538C" w:rsidRPr="009D3900" w:rsidRDefault="009A075F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1.1.1.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Создание эффективного специализированного государственного института по развитию экспорта</w:t>
            </w:r>
          </w:p>
          <w:p w14:paraId="609E4B3C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3B92A91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1A2DA7C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FA4B0C5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1E5AB9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8B26ED" w14:textId="25C0F8AF" w:rsidR="0044538C" w:rsidRPr="009D3900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Создана государственная организация, уполномоченная за продвижение экспорта с соответствующим финансированием и техническим оснащением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12306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 марта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95740" w14:textId="76FA5433" w:rsidR="0044538C" w:rsidRPr="009D3900" w:rsidRDefault="0044538C" w:rsidP="008B4BEF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МЭК, М</w:t>
            </w:r>
            <w:r w:rsidR="008B4BEF" w:rsidRPr="009D3900">
              <w:rPr>
                <w:rFonts w:ascii="Times New Roman" w:eastAsia="Times New Roman" w:hAnsi="Times New Roman" w:cs="Times New Roman"/>
                <w:color w:val="000000"/>
              </w:rPr>
              <w:t>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50353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  <w:p w14:paraId="0CBD4F29" w14:textId="073C69B1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57692" w:rsidRPr="009D3900" w14:paraId="7B6F9902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32385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267591" w14:textId="548E87B1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1.1.2.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Проведение исследования потребностей экспорт ориентированных компаний, а также лучших мировых практик по развитию экспорта и определить список услуг в сфере торговой аналитики, экспортного консалтинга и продвижения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423895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Определен перечень услуг, предоставляемых Госорганом по продвижению экспорта</w:t>
            </w:r>
          </w:p>
          <w:p w14:paraId="358171AA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41F24FD0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Утверждена структура Госоргана по продвижению экспорта</w:t>
            </w:r>
          </w:p>
          <w:p w14:paraId="07ECBC3A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417903C2" w14:textId="1FFDB27F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Проведены переговоры с международными финансовыми институтами и иными партнерами по развитию по вопросам практической реализации услуг Госоргана по продвижению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91F946" w14:textId="67A84336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 июня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14DD6E" w14:textId="02353D19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6A8315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  <w:p w14:paraId="147F8720" w14:textId="33AF599C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57692" w:rsidRPr="009D3900" w14:paraId="00B87BCA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432CA8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4FE9A" w14:textId="1E0FF85C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1.1.3. Провести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обучение персонала по вопросам экспортного консалтинга,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торговой аналитики и продвижения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0BB675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Более 15 сотрудников способны самостоятельно реализовывать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услуги по торговой аналитике и продвижению экспорта</w:t>
            </w:r>
          </w:p>
          <w:p w14:paraId="0A6363E0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</w:p>
          <w:p w14:paraId="0E781E0F" w14:textId="21FB32C9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Более 100 компаний ежегодно получают услуги по торговой аналитике и продвижению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25DD32" w14:textId="786CBAFC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Регулярно с 30 августа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3A667" w14:textId="48250E82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EFFAD3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ассигнований, привлечение донорской помощи</w:t>
            </w:r>
          </w:p>
          <w:p w14:paraId="65336BB9" w14:textId="690D72E3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57692" w:rsidRPr="009D3900" w14:paraId="4EF3A385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DC4B71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4716E0" w14:textId="2E503467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1.1.4.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Проводить совершенствование квалификации персонала по вопросам экспортного консалтинга, торговой аналитики и продвижения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56DB5" w14:textId="3941BC9D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Проводятся мероприятия по повышению потенциала и квалификации сотрудников по вопросам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8EACE5" w14:textId="27A0F362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8B95A6" w14:textId="6866A50C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F376A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  <w:p w14:paraId="67F8CD94" w14:textId="43FD57AA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57692" w:rsidRPr="009D3900" w14:paraId="19DA7813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F1A38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DCCBA" w14:textId="5F399728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1.1.5.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Разработка Экспортной акселерационной программы по продвижению продукции на целевые рынки (включая критерии отбора, сроки участия, требования к участникам, типы со-финансирования от бизнеса, целевые показатели результатов и др.)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B47B5A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Утверждено Положение об участии в Экспортной акселерационной программе</w:t>
            </w:r>
          </w:p>
          <w:p w14:paraId="78ED3676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3F4F35FE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Объявлен конкурс и отобраны не менее 20 пилотных компаний для участия в Экспортной акселерационной программе</w:t>
            </w:r>
          </w:p>
          <w:p w14:paraId="5C73FB79" w14:textId="5CD7251E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338F3B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 октября 2023 года</w:t>
            </w:r>
          </w:p>
          <w:p w14:paraId="0B0A984A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3080F7CC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5EAF0754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68832D31" w14:textId="7BB90085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69A1A5" w14:textId="453750DC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E33E37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  <w:p w14:paraId="6E6AFF8B" w14:textId="6918EF7E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57692" w:rsidRPr="009D3900" w14:paraId="42F9A962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FEBE39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D479FC" w14:textId="2BB2199D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1.1.5.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Реализация программ финансирования для участников Пилотной программы продвижения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DF0FAD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Определены источники финансирования и утвержден бюджет для финансирования Экспортной акселерационной программы</w:t>
            </w:r>
          </w:p>
          <w:p w14:paraId="77692C7F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8DCFD60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Заключены Соглашения с международными финансовыми институтами и иными партнерами по развития для реализации Экспортной акселерационной программы</w:t>
            </w:r>
          </w:p>
          <w:p w14:paraId="70F0FB74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7EB7817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Выделено не менее 400 млн сомов для финансирования Экспортной акселерационной программы:</w:t>
            </w:r>
          </w:p>
          <w:p w14:paraId="4F6AFA5F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- Не менее 80 млн сомов для выдачи грантов</w:t>
            </w:r>
          </w:p>
          <w:p w14:paraId="5613FD8E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- Не менее 320 млн сомов для выдачи кредитов</w:t>
            </w:r>
          </w:p>
          <w:p w14:paraId="57F311C4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7D5873E3" w14:textId="22FD7C99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Выдано не менее 20 кредитов и 20 грантов для продвижения экспорта пилотным компаниям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62C646" w14:textId="399C0B70" w:rsidR="0044538C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30 октября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5D3A2D" w14:textId="139D74E1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8DCCE2" w14:textId="6F02CEB0" w:rsidR="0044538C" w:rsidRPr="009D3900" w:rsidRDefault="0044538C" w:rsidP="002C3FE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4819E95B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362F2C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BC7CCF" w14:textId="279965B1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1.1.7.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Создания реестра участников Экспортной акселерационной программы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BF7D84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Опубликован список пилотных компаний Экспортной акселерационной программы</w:t>
            </w:r>
          </w:p>
          <w:p w14:paraId="553F0519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D0CD22A" w14:textId="6DB3693F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Более 200 потенциальных импортеров заходили на сайт export.gov.kg и изучали профили пилотных компаний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E75B3E" w14:textId="7873855F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30 октября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A42607" w14:textId="50A22AA4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539F7A" w14:textId="6621A2FC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53BA67D0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7F487A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0C4178" w14:textId="7B5283DB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1.1.8.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Определение перечня целевых рынков (географическая и товарная диверсификация) и целевых секторов продукции для исследования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86792" w14:textId="168F56B2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Определены приоритетные целевые рынки и целевые продуктовые сектора для глубокого исследования и для входа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EA10C0" w14:textId="53F795BA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30 сентября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15EE1" w14:textId="74A2D088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1C25F" w14:textId="55299384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00331EA6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5CD2BB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0D0E46" w14:textId="014D1112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1.1.9.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Улучшение доступа к информации по целевым рынкам для продвижения продукции экспортеров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A14003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Проведены кабинетные исследования целевых рынков</w:t>
            </w:r>
          </w:p>
          <w:p w14:paraId="5FD9E213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0B3E102" w14:textId="0631139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Разработка и публикация материалов по обзору рыночных возможностей, профилей рынка, профилей секторов, руководств по входу на целевые рынки</w:t>
            </w:r>
          </w:p>
          <w:p w14:paraId="5BE97210" w14:textId="44C2D00A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C9B977" w14:textId="5E1DBAE3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DCC20D" w14:textId="0F9C3C6A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0D52ED" w14:textId="22D2DF14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366A115D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D9C0AC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18CC2" w14:textId="7DFD6874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1.1.10.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Составление и регулярное обновление баз данных экспортеров, поставщиков услуг для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41B523" w14:textId="5CAD14CC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Проводится ежегодный сбор данных по экспортерам и публикуется на веб-сайте export.gov.kg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EBE34" w14:textId="18BBDDAA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Ежегодно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63BD77" w14:textId="26A16710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83947" w14:textId="19F88A54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19560CE6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80DC6D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952E04" w14:textId="7EC9ED28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1.1.11.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Проведение информационной кампании «Караван экспорта» и встреч с предприятиями во всех регионах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307056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Бизнес-сообщество информировано о деятельности Госоргана по продвижению экспорта, МИД КР и иных государственных и негосударственных организаций по продвижению экспорта</w:t>
            </w:r>
          </w:p>
          <w:p w14:paraId="33526C2F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48134949" w14:textId="7C0D11D9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Более 100 компаний ежегодно проходят обучение по вопросам экспорта в рамках «Каравана экспорта»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F5CD9" w14:textId="041D0E2A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Ежегодно в ноябре-декабре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9B6D1" w14:textId="5D026BD8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773C6E" w14:textId="38A0896B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Привлечение донорской помощи</w:t>
            </w:r>
          </w:p>
        </w:tc>
      </w:tr>
      <w:tr w:rsidR="00B57692" w:rsidRPr="009D3900" w14:paraId="06A3B296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240DF8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38D00B" w14:textId="4FF1F7AE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1.1.12.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Определение перечня международных выставок и организация участия экспортеров для входа на целевые рынки на период 2023-2026 годы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5EF1D5" w14:textId="1EF61298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На основе перечня целевых рынков, определены и отобраны торговые выставки для участия на период 2023-2026 годы</w:t>
            </w:r>
          </w:p>
          <w:p w14:paraId="2E7052D2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625FEFC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Оказана поддержка в подготовке, организовано участие в не менее 11 международных выставках и содействие в проведении переговоров ежегодно:</w:t>
            </w:r>
          </w:p>
          <w:p w14:paraId="1AB3C1F8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2023 год – не менее 2 выставок;</w:t>
            </w:r>
          </w:p>
          <w:p w14:paraId="7D251850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2024 год – не менее 3 выставок;</w:t>
            </w:r>
          </w:p>
          <w:p w14:paraId="1322B15F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2025 год – не менее 3 выставок;</w:t>
            </w:r>
          </w:p>
          <w:p w14:paraId="34FB4A2D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2026 год – не менее 3 выставок.</w:t>
            </w:r>
          </w:p>
          <w:p w14:paraId="3591EDAB" w14:textId="59F9B8D0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579164" w14:textId="1F0A5D0E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340E6F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4C7172C2" w14:textId="34E0FFA2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МИД, ТПП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122565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  <w:p w14:paraId="0B3160A6" w14:textId="3CDBA0FB" w:rsidR="0044538C" w:rsidRPr="00EC174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74C569E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57692" w:rsidRPr="009D3900" w14:paraId="290757AE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C7DD2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43DC9E" w14:textId="25992B49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1.1.12.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Реализация программы/мероприятий по продвижению продукции на целевые рынки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DB0C97" w14:textId="1414AA9E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На основе перечня целевых рынков, а также на основе существующих межправительственных комиссий определены и отобраны страны для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организации выездных торговых миссий на период 2023-2026 годы</w:t>
            </w:r>
          </w:p>
          <w:p w14:paraId="167EEB87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E1E5863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Организовано совместно с дипломатическими миссиями участие в не менее 14 торговых въездных и выездных миссиях на целевые страны и содействие в проведении переговоров ежегодно:</w:t>
            </w:r>
          </w:p>
          <w:p w14:paraId="0D31863D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2023 год – не менее 2 торговых миссий;</w:t>
            </w:r>
          </w:p>
          <w:p w14:paraId="3FF79572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2024 год – не менее 4 торговых миссий;</w:t>
            </w:r>
          </w:p>
          <w:p w14:paraId="182D149A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2025 год – не менее 4 торговых миссий;</w:t>
            </w:r>
          </w:p>
          <w:p w14:paraId="19739901" w14:textId="147C17CA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2026 год – не менее 4 торговых миссий.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C17BBB" w14:textId="77E22DBC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Регулярно начиная с 30 октября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B4DF7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53B46988" w14:textId="04CAF418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МИД,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5A017C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  <w:p w14:paraId="4B4173E1" w14:textId="50BBA149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57692" w:rsidRPr="009D3900" w14:paraId="3237561A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937415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D91202" w14:textId="0AC53E84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1.1.13.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Определения перечня текущих проектов и программ, связанных с развитием и продвижением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4C266" w14:textId="23839C4A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Составлен перечень текущих и запланированных проектов и программ по развитию предпринимательства, торговли и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F29DA4" w14:textId="0FB3134E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 апреля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968D93" w14:textId="00E836B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Госорган по продвижению экспорта, МЭК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C1F095" w14:textId="791702CA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49E53F20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1B0950" w14:textId="77777777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41214C" w14:textId="7E126EA8" w:rsidR="0044538C" w:rsidRPr="009D3900" w:rsidRDefault="009A075F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1.1.14. </w:t>
            </w:r>
            <w:r w:rsidR="0044538C" w:rsidRPr="009D3900">
              <w:rPr>
                <w:rFonts w:ascii="Times New Roman" w:eastAsia="Times New Roman" w:hAnsi="Times New Roman" w:cs="Times New Roman"/>
                <w:color w:val="000000"/>
              </w:rPr>
              <w:t>Мобилизация ресурсов для реализации Экспортной акселерационной программы и иных мероприятий по продвижению экспорта на период 2023-2026 годы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A73548" w14:textId="7FC19BCA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Проведение переговоров и интеграция Экспортной акселерационной программы в текущие и запланированные проекты и программы, финансируемые международными организациями и донорами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B3C85F" w14:textId="4DCA1629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 июня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1ACDB6" w14:textId="1AB9DFAF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5299DB" w14:textId="3F84D0E0" w:rsidR="0044538C" w:rsidRPr="009D3900" w:rsidRDefault="0044538C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053A" w:rsidRPr="009D3900" w14:paraId="79805767" w14:textId="77777777" w:rsidTr="003C1886">
        <w:trPr>
          <w:trHeight w:val="54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06BE6" w14:textId="1CBDEC6B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Задача 1.2. Эффективное государственно- частное сотрудничество для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развития экспортного потенциала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582441" w14:textId="34063CBD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1.2.1. Создание Экспортного совета при Кабинете Министров КР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73B951" w14:textId="4129334A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Мобилизация средств для повышения эффективности деятельности технического секретариата Экспортного совета, определены источники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финансирования деятельности Экспортного совета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991AE2" w14:textId="57AB6FE0" w:rsidR="00B5053A" w:rsidRPr="009D3900" w:rsidRDefault="00B5053A" w:rsidP="00877E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 xml:space="preserve">30 </w:t>
            </w:r>
            <w:r w:rsidR="00877E16" w:rsidRPr="009D3900">
              <w:rPr>
                <w:rFonts w:ascii="Times New Roman" w:eastAsia="Times New Roman" w:hAnsi="Times New Roman" w:cs="Times New Roman"/>
                <w:color w:val="000000"/>
              </w:rPr>
              <w:t>июня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A954BA" w14:textId="4CA32B56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Администрация Президента КР, МЭК, МФ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242A88" w14:textId="7B2E5C00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053A" w:rsidRPr="009D3900" w14:paraId="71C3BCDF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30FD69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768354" w14:textId="6E54DF65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1.2.2. Формирование состава Экспортного совета и определение операционного плана и графика заседаний Экспортного совета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9913B8" w14:textId="4ABAC434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Утверждены состав Экспортного совета и план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964A64" w14:textId="17D7621A" w:rsidR="00B5053A" w:rsidRPr="009D3900" w:rsidRDefault="00B5053A" w:rsidP="00877E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30 </w:t>
            </w:r>
            <w:r w:rsidR="00877E16" w:rsidRPr="009D3900">
              <w:rPr>
                <w:rFonts w:ascii="Times New Roman" w:eastAsia="Times New Roman" w:hAnsi="Times New Roman" w:cs="Times New Roman"/>
                <w:color w:val="000000"/>
              </w:rPr>
              <w:t>июля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B0C249" w14:textId="3613EACE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Администрация Президента КР, МЭК, Минфин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A29D5" w14:textId="44CAF30F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053A" w:rsidRPr="009D3900" w14:paraId="53B10DD1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F495FE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2B098B" w14:textId="6E7B0992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1.2.3. Проведение регулярных заседаний Экспортного совета при КМ КР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BE4F3F" w14:textId="47B6BC90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Выявление и обсуждение проблем в реализации Программы развития экспорта, а также иные проблемы, связанные с экспортом</w:t>
            </w:r>
          </w:p>
          <w:p w14:paraId="00F305AC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4619CBEC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B0FFF0" w14:textId="04A2832C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Ежеквартально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5786E9" w14:textId="16AB8770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Экспортный совет КР,</w:t>
            </w:r>
            <w:r w:rsidR="006A5641" w:rsidRPr="009D3900">
              <w:t xml:space="preserve"> </w:t>
            </w:r>
            <w:r w:rsidR="006A5641"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DF61A0" w14:textId="05573DBB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053A" w:rsidRPr="009D3900" w14:paraId="53E78599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1A7122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730303" w14:textId="3F435A90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1.2.4. Продвижение сотрудничества между бизнесом, государственными институтами и консалтингом по продвижению и развитию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4765E1" w14:textId="71A5DA45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Разработка механизма взаимодействия по продвижению экспорта между бизнес-консалтингом, производителями и экспортерами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1C2FC6" w14:textId="286BC92E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30 октября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179E7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E4486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5053A" w:rsidRPr="009D3900" w14:paraId="61A6F2ED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BDA509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1241D" w14:textId="2AA86F1C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1.2.5. Проведение мониторинга и анализа реализации Программы развития экспорта Кабинета Министров КР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9C28A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Осуществлен регулярный сбор информации о ходе реализации Программы развития экспорта Кабинета Министров КР</w:t>
            </w:r>
          </w:p>
          <w:p w14:paraId="06790F63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0D8317D9" w14:textId="6D500821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Подготовлен регулярный отчет и инфографика для информирования широкой общественности о ходе реализации Программы развития экспорта Кабинета Министров КР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692DB" w14:textId="4CC5019B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ACD026" w14:textId="3D72E2B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Экспортный совет КР, 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BA0D8F" w14:textId="7C0340F1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053A" w:rsidRPr="009D3900" w14:paraId="701A1D8F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9AF284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567278" w14:textId="2EA66492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1.2.6. Создание и обеспечение удобного пользования реестром бизнес консалтинговых компаний и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экспертов в сфере экспорта и смежным тематикам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7488FD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Разработан и опубликован реестр бизнес-консультантов в сферах, связанных с проектами по продвижению экспорта на веб-сайте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export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gov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kg</w:t>
            </w:r>
          </w:p>
          <w:p w14:paraId="62B7FA72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 </w:t>
            </w:r>
          </w:p>
          <w:p w14:paraId="0B722822" w14:textId="470FCB85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Определены тематики для заказа консалтинговых исследований и работ для продвижения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7A5F38" w14:textId="2B2A0B60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 октября 2023г.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A3AA08" w14:textId="406D0E5B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BEC1B5" w14:textId="0CB86E24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привлечение донорской помощи</w:t>
            </w:r>
          </w:p>
        </w:tc>
      </w:tr>
      <w:tr w:rsidR="00B5053A" w:rsidRPr="009D3900" w14:paraId="520432A2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DCFAE9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2A086" w14:textId="368C1A67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1.2.7. Создание в регионах страны платформ по повышению навыков и квалификации по развитию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A2D477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Созданы совместно с бизнес-ассоциациями и регулярно функционируют площадки по повышению экспортного потенциала во всех регионах страны</w:t>
            </w:r>
          </w:p>
          <w:p w14:paraId="4A251377" w14:textId="55C4563F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688D75" w14:textId="4A460BC5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 сентября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9AEB73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45077115" w14:textId="1627205E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ПППКР в областях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8A1995" w14:textId="3C49F77D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053A" w:rsidRPr="009D3900" w14:paraId="0C130F6A" w14:textId="77777777" w:rsidTr="003C1886">
        <w:trPr>
          <w:trHeight w:val="54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5B382D" w14:textId="67CDEAF6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Задача 1.3. Повышение экспортного потенциала предпринимателей из разных секторов и регионов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86D763" w14:textId="0DC9C07C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1.3.1. Проведение конкурса «Лучший экспортер КР»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653F40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Вознаграждение по различным номинациям</w:t>
            </w:r>
          </w:p>
          <w:p w14:paraId="6E3861B9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0409F07E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Продвижение достижений в сфере экспорта</w:t>
            </w:r>
          </w:p>
          <w:p w14:paraId="0C5BD609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0501BDEC" w14:textId="3A2EDCF4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Внедрение системы поощрения за достижение высоких экспортных показателей (например, в виде предоставления стенда на 1-2 выставках за счет государства, получение 100%-го финансирования на покрытие расходов по участию в торговой миссии или профессиональной стажировки)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FA8C1" w14:textId="3E1E8F6B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 декабря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BC4B7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3D56748D" w14:textId="38EA29F8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МИД, МЭК, Экспортный совет</w:t>
            </w:r>
          </w:p>
          <w:p w14:paraId="5559B96C" w14:textId="38C2176B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2B3EBF" w14:textId="71E23E1B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053A" w:rsidRPr="009D3900" w14:paraId="6C65EBA5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DBCDBA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70193C" w14:textId="0F54227A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1.3.2. Обучение предпринимателей основам экспортной деятельности (экспортный маркетинг, международные переговоры, экспортные контракты и др.)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4E346" w14:textId="229E9F6E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Обучено представителей менеджмента и собственников бизнеса не менее 200 компаний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FAB0E" w14:textId="3DD6A300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451E0D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2021FB86" w14:textId="12DD2491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МИД, Экспортный совет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B0970" w14:textId="594CA612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053A" w:rsidRPr="009D3900" w14:paraId="71435986" w14:textId="77777777" w:rsidTr="003C1886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49A80C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C0B791" w14:textId="7189528F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1.3.3. Проведение программ профессиональных стажировок для менеджеров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экспортных компаний по изучению опыта производства продукции и ведения бизнеса за рубежом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4EFC08" w14:textId="0D5E0740" w:rsidR="00B5053A" w:rsidRPr="009D3900" w:rsidRDefault="00B5053A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Прошли стажировку за рубежом представители менеджмента и собственники  бизнеса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27AE40" w14:textId="4CFBEBF5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ADCA8D" w14:textId="77777777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3454A3F1" w14:textId="0789661B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МИД, Экспортный совет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23476" w14:textId="1B6FE5D2" w:rsidR="00B5053A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 пределах выделенных бюджетных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ассигнований, привлечение донорской помощи</w:t>
            </w:r>
          </w:p>
        </w:tc>
      </w:tr>
      <w:tr w:rsidR="003A63E3" w:rsidRPr="009D3900" w14:paraId="1C1BF9CE" w14:textId="77777777" w:rsidTr="00B57692">
        <w:trPr>
          <w:trHeight w:val="54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930E88" w14:textId="77777777" w:rsidR="003A63E3" w:rsidRPr="009D3900" w:rsidRDefault="003A63E3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Цель 2. Усиление международной интеграции экспортеров и продвижение имиджа бренда «Сделано в Кыргызстане»</w:t>
            </w:r>
          </w:p>
          <w:p w14:paraId="4F12B7A4" w14:textId="4A12FD7A" w:rsidR="00DE2977" w:rsidRPr="009D3900" w:rsidRDefault="00DE2977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C1886" w:rsidRPr="009D3900" w14:paraId="24035B35" w14:textId="77777777" w:rsidTr="00B57692">
        <w:trPr>
          <w:trHeight w:val="5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3FFF6F" w14:textId="77777777" w:rsidR="003C1886" w:rsidRPr="009D3900" w:rsidRDefault="003C1886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372083" w14:textId="5767F47B" w:rsidR="003C1886" w:rsidRPr="009D3900" w:rsidRDefault="003C1886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Разработка концепции по международному продвижению имиджа продукции "Сделано в Кыргызстане"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E71D9A" w14:textId="66A4D21B" w:rsidR="003C1886" w:rsidRPr="009D3900" w:rsidRDefault="003C1886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Разработана и утверждена Концепция по международному продвижению имиджа продукции "Сделано в Кыргызстане"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6778E2" w14:textId="178E9A53" w:rsidR="003C1886" w:rsidRPr="009D3900" w:rsidRDefault="003C1886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30 мая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0BC434" w14:textId="77777777" w:rsidR="00D3553D" w:rsidRPr="009D3900" w:rsidRDefault="00D3553D" w:rsidP="00D355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2B954B12" w14:textId="0372FF9F" w:rsidR="003C1886" w:rsidRPr="009D3900" w:rsidRDefault="00D3553D" w:rsidP="00D355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МИД,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DCAA2" w14:textId="417A840E" w:rsidR="003C1886" w:rsidRPr="009D3900" w:rsidRDefault="00D3553D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06B108EC" w14:textId="77777777" w:rsidTr="00B57692">
        <w:trPr>
          <w:trHeight w:val="54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948D23" w14:textId="61180687" w:rsidR="003A63E3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Задача 1.4.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Создание условий по повышению международной узнаваемости продукции «Сделано в Кыргызстане»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756CC" w14:textId="13DBA2AF" w:rsidR="003A63E3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1.4.1.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Разработка брендбука для повышения имиджа продукции «Сделано в Кыргызстане»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9BD34" w14:textId="1DF6907F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Разработан и согласован брендбук для повышения имиджа продукции «Сделано в Кыргызстане»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C5FB7" w14:textId="2B861668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30 июля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A0B191" w14:textId="3A1F6A82" w:rsidR="003A63E3" w:rsidRPr="009D3900" w:rsidRDefault="003A63E3" w:rsidP="00F26F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 МИД, МСХ, МКИТ, бизнес-сообщество КР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C8E976" w14:textId="4982E1B0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5920BA3B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B1696F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26B17F" w14:textId="552788D3" w:rsidR="003A63E3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1.4.2.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Разработка дизайна национального стенда «Сделано в Кыргызстане» для использования на международных выставках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743DBD" w14:textId="2EAD5043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 формат и дизайн стандартного национального стенда «Сделано в Кыргызстане» для использования на международных выставках (размер, дизайн и логистика).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714503" w14:textId="11BF65F3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 августа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717D9F" w14:textId="7C6DAAE2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 МКИТ, МЭК, МСХ, МИД, бизнес-сообщество КР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BE104B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  <w:p w14:paraId="4FED2E94" w14:textId="7183C391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 млн.сом</w:t>
            </w:r>
          </w:p>
        </w:tc>
      </w:tr>
      <w:tr w:rsidR="00B57692" w:rsidRPr="009D3900" w14:paraId="1DF74B93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031F02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C97C86" w14:textId="478949A6" w:rsidR="003A63E3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1.4.3.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Разработка медиа контента для продвижения бренда «Сделано в Кыргызстане»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BAF0A0" w14:textId="6BC93655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Подготовлены короткие видео ролики, тизеры для соцсетей, фотографии для баннеров и растяжек на английском языке и языках целевых рынков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AE2310" w14:textId="1D06B00C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 октября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CFDE9" w14:textId="4F981B15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 МКИТ</w:t>
            </w:r>
          </w:p>
          <w:p w14:paraId="5383D6BB" w14:textId="1035CB9C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МИД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70AA0E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  <w:p w14:paraId="03D1AD70" w14:textId="48BCFBBE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57692" w:rsidRPr="009D3900" w14:paraId="3FDF52A8" w14:textId="77777777" w:rsidTr="00B57692">
        <w:trPr>
          <w:trHeight w:val="54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BCD314" w14:textId="6A488914" w:rsidR="003A63E3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Задача 1.5.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Усиление роли загранучреждений для продвижения экспорта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A7563" w14:textId="3BD13721" w:rsidR="003A63E3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1.5.1.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Внедрение эффективного механизма по межведомственному взаимодействию между загранучреждениями МИД КР и государственной организацией по продвижению экспорта по вопросам сбора торговой информации и организации мероприятий по продвижению экспорта (торговые миссии и выставки)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764FFA" w14:textId="57042182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Разработано и реализовано межведомственное положение о взаимодействии и оперативном обмене информации по вопросам продвижения экспорта, включая, и не ограничиваясь организацией участия в торговых выставках и миссиях, а также сборе и обработки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E6EAC9" w14:textId="74E419AE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 октября 2023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66117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0FB7CC15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МИД, торговые представители МЭК</w:t>
            </w:r>
          </w:p>
          <w:p w14:paraId="6EC9E700" w14:textId="191D05AB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AFDDDD" w14:textId="2BA513BA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18F0DB4B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4E4C68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D60927" w14:textId="7D20690A" w:rsidR="003A63E3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1.5.2.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Оказание содействия для отечественных экспортеров и их представителей в открытии торговых домов или шоу-румов для реализации и демонстрации экспортной продукции на целевых рынках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29C8B3" w14:textId="3B0BE86E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Открыто не менее 10 торговых домов или шоу-румов на целевых рынках, на которых представлен широкий перечень экспортной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56953" w14:textId="3E9F73A0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65703" w14:textId="169829FF" w:rsidR="003A63E3" w:rsidRPr="009D3900" w:rsidRDefault="003A63E3" w:rsidP="00F26F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  <w:r w:rsidR="00F26F82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МФ, МИД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50155" w14:textId="01DB6240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42F0A462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9495F1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902F6" w14:textId="0F7E0C4D" w:rsidR="003A63E3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1.5.3.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Внедрение показателей эффективности деятельности загранучреждений по вопросам продвижения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036AFC" w14:textId="7313021F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Разработаны и внедрены ключевые индикаторы эффективности деятельности загранучреждений по вопросам продвижения экспорта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2C3AA9" w14:textId="1C674B45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30 октября 2023 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D33BA2" w14:textId="704050F0" w:rsidR="003A63E3" w:rsidRPr="009D3900" w:rsidRDefault="00F26F82" w:rsidP="00F26F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МИД,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Экспортный совет,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A3B8AE" w14:textId="43472BCE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51BABC10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4435E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D3B282" w14:textId="37359C86" w:rsidR="003A63E3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1.5.4.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Разработка формата работы деятельности групп по сотрудничеству между деловыми кругами КР и зарубежных стран (целевые рынки и страны для изучения опыта)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1C6A83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Созданы группы сотрудничества между деловыми кругами КР и деловыми кругами ключевых стран и регионов на базе Экспортного совета</w:t>
            </w:r>
          </w:p>
          <w:p w14:paraId="7C2EEEE4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4C7400CA" w14:textId="2F8F8FB9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Организованы награждения грамотами, медалями и памятными призами за заслуги в продвижении взаимной торговли для представителей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иностранных организаций (ТПП, министерства и ведомства, оказавшие поддержку в вопросах экспорта продукции КР)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F1DE0" w14:textId="3FCA1B9F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7B9AA2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 ТПП КР (по согласованию),</w:t>
            </w:r>
          </w:p>
          <w:p w14:paraId="0B39E1B6" w14:textId="21679DD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МИД, МЭК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, МСХ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4B399" w14:textId="7020F27A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76DBCB3A" w14:textId="77777777" w:rsidTr="00B57692">
        <w:trPr>
          <w:trHeight w:val="54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C2929E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F8639" w14:textId="38E24DCB" w:rsidR="003A63E3" w:rsidRPr="009D3900" w:rsidRDefault="00B5053A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1.5.5.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Формирование календаря мероприятий по обсуждению конкретных вопросов сотрудничества в сфере поставок продукции, а также презентации проектов экспортных возможностей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D15D8" w14:textId="2D84A264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Проводятся регулярно деловые визиты и обсуждение вопросов взаимной торговли с целевыми странами и регионами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BD0D8" w14:textId="2562315B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E94D6C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 ТПП КР (по согласованию),</w:t>
            </w:r>
          </w:p>
          <w:p w14:paraId="6997ABFC" w14:textId="6C737C7B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МИД, 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ADC141" w14:textId="65C5FB7C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3A63E3" w:rsidRPr="009D3900" w14:paraId="5F245BF8" w14:textId="77777777" w:rsidTr="00B57692">
        <w:trPr>
          <w:trHeight w:val="54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2C9D5" w14:textId="77777777" w:rsidR="00B5053A" w:rsidRPr="009D3900" w:rsidRDefault="00B5053A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43F3AE8E" w14:textId="5A094575" w:rsidR="003A63E3" w:rsidRPr="009D3900" w:rsidRDefault="003A63E3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НАПРАВЛЕНИЕ</w:t>
            </w:r>
            <w:r w:rsidR="00B5053A"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 xml:space="preserve"> 2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: УПРОЩЕНИЕ ПРОЦЕДУР ТОРГОВЛ</w:t>
            </w:r>
            <w:r w:rsidR="00B57692"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И</w:t>
            </w:r>
          </w:p>
          <w:p w14:paraId="51334F6C" w14:textId="77777777" w:rsidR="00B5053A" w:rsidRPr="009D3900" w:rsidRDefault="00B5053A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05EFE4AC" w14:textId="753463FD" w:rsidR="003A63E3" w:rsidRPr="009D3900" w:rsidRDefault="003A63E3" w:rsidP="00B576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3E3" w:rsidRPr="009D3900" w14:paraId="5CDDBA93" w14:textId="77777777" w:rsidTr="00B57692">
        <w:trPr>
          <w:trHeight w:val="58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92FDC" w14:textId="391D90FB" w:rsidR="003A63E3" w:rsidRPr="009D3900" w:rsidRDefault="003A63E3" w:rsidP="003A63E3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Цель</w:t>
            </w:r>
            <w:r w:rsidR="00981614"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1.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Оптимизация внешнеторговых формальностей, уменьшение времени и материальных затрат экспортеров на их выполнение</w:t>
            </w:r>
          </w:p>
        </w:tc>
      </w:tr>
      <w:tr w:rsidR="00B57692" w:rsidRPr="009D3900" w14:paraId="1F19CAE3" w14:textId="77777777" w:rsidTr="00B57692">
        <w:trPr>
          <w:trHeight w:val="8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B8753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993408A" w14:textId="01BA9BB0" w:rsidR="003A63E3" w:rsidRPr="009D3900" w:rsidRDefault="00B5053A" w:rsidP="003A63E3">
            <w:pPr>
              <w:shd w:val="clear" w:color="auto" w:fill="FFFFFF"/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Задача 2.1.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Упрощение процедур экспорта приоритетной продукции, предоставление экспортерам нового уровня сервиса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FA940" w14:textId="0E323C41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2.1.1.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Разработать концепцию реализации «Сонун-сервисов» для экспортеров приоритетной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ACE227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Разработана и утверждена концепция внедрения «Сонун-сервисов» для экспорта приоритетной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CCD36" w14:textId="43E17409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1 июня 2023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93855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МЭК КР, ГП ЦЕО, ТС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2D2B1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4A4E6DC1" w14:textId="77777777" w:rsidTr="00B57692">
        <w:trPr>
          <w:trHeight w:val="17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9203C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6795D" w14:textId="5B84D909" w:rsidR="003A63E3" w:rsidRPr="009D3900" w:rsidRDefault="00B5053A" w:rsidP="00877E1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2.1.2. Разработать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план реализации концепции</w:t>
            </w:r>
            <w:r w:rsidR="00877E16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«Сонун-сервиса»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, закрепить ответственные государственные органы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A96EA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Разработан и утвержден план реализации концепции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583A3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1 июня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2023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г. </w:t>
            </w:r>
          </w:p>
          <w:p w14:paraId="5ECC5657" w14:textId="5E3C5656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91E72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МЭК КР, ГП ЦЕО, ТС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1E942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534D6653" w14:textId="77777777" w:rsidTr="00B57692">
        <w:trPr>
          <w:trHeight w:val="278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56AB7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6BD402" w14:textId="54812AA4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2.1.3.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Провести пилотный проект по реализации «Сонун-сервиса»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относительно одного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вида приоритетной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12F4A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Пилотный «Сонун-сервис» реализован для одного из видов приоритетной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2A4F8F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25 ноября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2023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г.</w:t>
            </w:r>
          </w:p>
          <w:p w14:paraId="766FE632" w14:textId="152D3502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F14D5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МЭК КР, ГП ЦЕО, ТС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2F1535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63EE704B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B5059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64A23" w14:textId="7BD1BDBB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2.1.4.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Разработать сквозные регламенты оказания услуг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экспортерам в рамках «Сонун-сервиса»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6F875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Разработаны и утверждены сквозные регламенты,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регулирующие применения «Сонун-сервисов»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7C87C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 xml:space="preserve">25 апреля 2024г. </w:t>
            </w:r>
          </w:p>
          <w:p w14:paraId="19A66EE2" w14:textId="2775320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8876E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МЭК КР, ГП ЦЕО, ТС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04AB1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бюджетных ассигнований</w:t>
            </w:r>
          </w:p>
        </w:tc>
      </w:tr>
      <w:tr w:rsidR="00B57692" w:rsidRPr="009D3900" w14:paraId="01B18F26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6E129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8BBA9" w14:textId="29845CA6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2.1.5.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Масштабировать пилотную зону на другие виды продукции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40D18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«Сонун-сервисы» внедрены на другие виды приоритетной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D373E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lang w:eastAsia="en-US"/>
              </w:rPr>
              <w:t xml:space="preserve">15 декабря 2024г. </w:t>
            </w:r>
          </w:p>
          <w:p w14:paraId="3F475598" w14:textId="6DE9EFDD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AB7612" w14:textId="57F933CD" w:rsidR="003A63E3" w:rsidRPr="009D3900" w:rsidRDefault="00725139" w:rsidP="00725139">
            <w:pPr>
              <w:shd w:val="clear" w:color="auto" w:fill="FFFFFF"/>
              <w:spacing w:after="0" w:line="240" w:lineRule="auto"/>
              <w:ind w:left="-25" w:hanging="25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МЭК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, ГП ЦЕО, ТС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DD5FD1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58942D54" w14:textId="77777777" w:rsidTr="00B57692">
        <w:trPr>
          <w:trHeight w:val="685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D5D75" w14:textId="4E57C144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Задача 2.2.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Ускорение подготовки товаров к экспорту и перемещения товаров через пункты пропуска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701E7" w14:textId="7A622314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2.2.1.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Реализовать возможность по самостоятельному таможенному декларированию экспортных товаров.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Запретить требовать предоставление товаросопроводительных документов при экспорте.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0DA2B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Экспортеры самостоятельно могут заполнить и отправить через Интернет декларацию на товары.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9E96C9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</w:rPr>
              <w:t>15 январь 2024г.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B7DE7" w14:textId="0CDD38BF" w:rsidR="003A63E3" w:rsidRPr="009D3900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ТС МФ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9DB7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507312C9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BE0F5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11F0FE" w14:textId="74A9AD58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2.2.2.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Реализовать алгоритмы автоматической регистрации деклараций на товары и автоматического выпуска товаров для экспортных товаров.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571FE2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100% - таможенных деклараций на товары, помещенные под процедуру экспорт, автоматически регистрируются, решения по выпуску товаров принимается автоматически для 80% поданных деклараций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EF24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</w:rPr>
              <w:t xml:space="preserve">25 март 2024г.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505039" w14:textId="4E93DB66" w:rsidR="003A63E3" w:rsidRPr="009D3900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ТС МФ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2285C8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2F3185D8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8DA5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AF0F8" w14:textId="3ED43C59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2.2.3.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Установить снижение размера сборов за таможенные операции на 25-50% от базового уровня при использовании систем электронного декларирования товаров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B47DD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Величина таможенных сборов для деклараций, поданных экспортерами электронным способом снижена на 25-50% от базового уровня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0C718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10 апрель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2024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42CD72" w14:textId="603F5B1D" w:rsidR="003A63E3" w:rsidRPr="009D3900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ТС МФ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D04D48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17AB425E" w14:textId="77777777" w:rsidTr="00B57692">
        <w:trPr>
          <w:trHeight w:val="674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87C46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45AE1" w14:textId="2E7B5521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2.2.4.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Внедрить систему электронной очереди на границе, учитывающей степень риска товаров, товары приоритетного экспорта,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категорию участников ВЭД, скоропортящиеся товары и другие параметры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F2E38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Перевозчики предварительно получают информацию о нагрузке в пункте пропуска и могут получить талон в электронной очереди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D1B4B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10 апрель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2024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CFD3E" w14:textId="3C9F5B6F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ТС </w:t>
            </w:r>
            <w:r w:rsidR="00725139"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МФ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8BE3B4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привлечение донорской помощи</w:t>
            </w:r>
          </w:p>
        </w:tc>
      </w:tr>
      <w:tr w:rsidR="00B57692" w:rsidRPr="009D3900" w14:paraId="762065A0" w14:textId="77777777" w:rsidTr="00B57692">
        <w:trPr>
          <w:trHeight w:val="494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DCFB1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56DFA" w14:textId="435EBE79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2.2.5.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Реализовать совместный (скоординированный) контроль на границе и (или) делегировать отдельные формы государственного контроля таможенным органам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48DDE5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Таможенные органы осуществляют документальный контроль на границе в интересах других государственных органов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57E6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 июнь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2024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DD6CE" w14:textId="7750F504" w:rsidR="003A63E3" w:rsidRPr="009D3900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ТС МФ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683F1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62A267BB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7AA5A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F2904" w14:textId="37BB5C6C" w:rsidR="003A63E3" w:rsidRPr="009D3900" w:rsidRDefault="00B5053A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2.2.</w:t>
            </w:r>
            <w:r w:rsidR="00650014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Перенести проставление печатей на оригиналах разрешительных и товаросопроводительных документах на этап убытии товаров в пунктах пропуска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574FE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У экспортеров имеется возможность все необходимые печати, удостоверяющие легальность документов в стране импорта поставить при убытии товаров в пункте пропуска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5F589" w14:textId="3DF4149B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</w:rPr>
              <w:t>1 сентября 2023г.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596A9F" w14:textId="25167C59" w:rsidR="003A63E3" w:rsidRPr="009D3900" w:rsidRDefault="003A63E3" w:rsidP="007251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ТС МФ, 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5C5E82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B57692" w:rsidRPr="009D3900" w14:paraId="30F23EB7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26E38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B026E" w14:textId="40792E5C" w:rsidR="003A63E3" w:rsidRPr="009D3900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2.2.7.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Создать специальные условия ускоренного перемещения через таможенные границы для скоропортящихся товаров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9169F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Для экспортеров скоропортящейся продукции созданы отдельные полосы для пересечения пунктов пропуска, либо в случае ограниченности инфраструктуры реализована приоритетная очередь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59E41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lang w:eastAsia="en-US"/>
              </w:rPr>
              <w:t>10 апреля 2024 г.</w:t>
            </w:r>
          </w:p>
          <w:p w14:paraId="5B059160" w14:textId="3E883970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A6F1E1" w14:textId="78402968" w:rsidR="003A63E3" w:rsidRPr="009D3900" w:rsidRDefault="003A63E3" w:rsidP="007251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ТС МФ, ГКНБ</w:t>
            </w:r>
            <w:r w:rsidR="00725139" w:rsidRPr="009D3900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МТК</w:t>
            </w:r>
            <w:r w:rsidR="00725139" w:rsidRPr="009D3900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МСХ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9A350E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402B9784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CCA25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3DB35" w14:textId="03072686" w:rsidR="003A63E3" w:rsidRPr="009D3900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2.2.8.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Развивать институт уполномоченного экономического оператора для экспортеров, установив для производственных компаний, занимающихся экспортом готовой продукции (импортом комплектующих и материалов для ее производства) нулевого размер обеспечения, адаптировав критерии финансовой устойчивости под требования экономического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развития, предусмотрев налоговые льготы и иные меры государственной поддержки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D846D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Внесены изменения в законодательство ЕАЭС, касающихся критериев получения статуса УЭО и перечня упрощений, для удовлетворения потребностей и с учетом особенностей деятельности экспортеров КР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8E3352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</w:rPr>
              <w:t xml:space="preserve">20 октябрь 2024г.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3B5F1" w14:textId="137D1A1B" w:rsidR="003A63E3" w:rsidRPr="009D3900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ТС МФ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7C0C8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4B52A4AC" w14:textId="77777777" w:rsidTr="00B57692">
        <w:trPr>
          <w:trHeight w:val="685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07B24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610C44" w14:textId="6D5713B4" w:rsidR="003A63E3" w:rsidRPr="009D3900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2.2.9.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Опубликовать конфиденциальную информацию из реестров выданных разрешительных документов и сведений (регистрационные данные, документы об оценке соответствия, сертификаты происхождения, лицензии, доверенности и т.д.)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204DAB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Участники ВЭД могут получить доступ к открытым реестрам государственных органов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05F1B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25 декабрь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2024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5D5B50" w14:textId="547A56B0" w:rsidR="003A63E3" w:rsidRPr="009D3900" w:rsidRDefault="00F26F82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Госорган по продвижению экспорта,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МЭК КР, ГП ЦЕО, ТС МФ КР, ГНС МФ КР, МСХ, 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84D0FF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39AAD11C" w14:textId="77777777" w:rsidTr="00B57692">
        <w:trPr>
          <w:trHeight w:val="685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432C0" w14:textId="7B17148A" w:rsidR="003A63E3" w:rsidRPr="009D3900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Задача 2.3.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Обеспечение поэтапного перехода на безбумажные разрешительные документы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BC88A" w14:textId="2BAF4FA8" w:rsidR="003A63E3" w:rsidRPr="009D3900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2.3.1.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Реализовать механизм взаимного признания разрешительных электронных документов и данных в рамках двусторонних и многосторонних соглашений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93957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Заключены международные двусторонние и многосторонние соглашения, закрепляющие механизм признания выданных разрешительных документов в электронном виде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C984F7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</w:rPr>
              <w:t>25 июнь 2024г.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EC0B6" w14:textId="7D2BE117" w:rsidR="003A63E3" w:rsidRPr="009D3900" w:rsidRDefault="00725139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3DCD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2890A200" w14:textId="77777777" w:rsidTr="00B57692">
        <w:trPr>
          <w:trHeight w:val="728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4E5D4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1DADE" w14:textId="52457963" w:rsidR="003A63E3" w:rsidRPr="009D3900" w:rsidRDefault="003A63E3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50014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2.3.2.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рамках СНГ и в торговле с КНР реализовать систему само-сертификации страны происхождения товаров по аналогии с европейской системой в рамках ВСП+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866338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Сертификат происхождения в электронном виде применяется со странами СНГ и в КНР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993CC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25 октябрь 2024г.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BC70B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НАИ при ПКР, ТПП КР, ГП ЦЕО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BC8BB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7B3495E3" w14:textId="77777777" w:rsidTr="00B57692">
        <w:trPr>
          <w:trHeight w:val="44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39B69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DFAF0" w14:textId="12C097FE" w:rsidR="003A63E3" w:rsidRPr="009D3900" w:rsidRDefault="00650014" w:rsidP="003A63E3">
            <w:pPr>
              <w:shd w:val="clear" w:color="auto" w:fill="FFFFFF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2.3.3.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Разработать и опубликовать типовые формы контрактов, заявок на страховые и транспортные услуги на Торговом информационном портале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E0A354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Экспортеры могут проще формировать документацию и организовывать транспортировку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784991" w14:textId="137288D0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1 июня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202</w:t>
            </w:r>
            <w:r w:rsidR="00877E16"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г. </w:t>
            </w:r>
          </w:p>
          <w:p w14:paraId="63E694B2" w14:textId="0D920F2B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E35FEF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МЭК, ГП ЦЕО, АМАП КР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E4238C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74AF71E9" w14:textId="77777777" w:rsidTr="00B57692">
        <w:trPr>
          <w:trHeight w:val="2466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71230" w14:textId="5AE22257" w:rsidR="003A63E3" w:rsidRPr="009D3900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Задача 2.4.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Улучшение осведомленности экспортеров о действующих правилах, вопросах продвижения и поддержки экспорта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31847E" w14:textId="7FDF5157" w:rsidR="003A63E3" w:rsidRPr="009D3900" w:rsidRDefault="00650014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2.4.1.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Обеспечить своевременное обновление Торгового информационного портала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  <w:p w14:paraId="02B4B37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4851C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Портал торговой информации содержит актуальную информацию о правилах экспорта продукции</w:t>
            </w:r>
          </w:p>
          <w:p w14:paraId="6A837091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F826303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81D38FD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02603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  <w:p w14:paraId="105F34B5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F75C1B9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95920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0EE1E4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1FCC424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8FD6A86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CEC8187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831F2A1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35FB7B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ГП ЦЕО</w:t>
            </w:r>
          </w:p>
          <w:p w14:paraId="44FD743A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A60A70B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8F51FE4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ED5784B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E74C8DD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4A8441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2C06D69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B3206AB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6D0CC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  <w:p w14:paraId="56F4F38E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E307970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57692" w:rsidRPr="009D3900" w14:paraId="391759D1" w14:textId="77777777" w:rsidTr="00B57692">
        <w:trPr>
          <w:trHeight w:val="2331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B1E8A4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368BC3" w14:textId="2B13C5D8" w:rsidR="003A63E3" w:rsidRPr="009D3900" w:rsidRDefault="00A91C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2.4.2.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Разместить интерактивные реестры транспортных, экспедиторских, страховых компаний, а также реестр таможенных представителей на Торговом информационном портале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9C6374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6A001AD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Экспортеры могут выбрать партнеров и отправить им заявку по рекомендуемой на портале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6D2DF4" w14:textId="79AFE19E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10 марта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2023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88B6E5" w14:textId="42680B07" w:rsidR="003A63E3" w:rsidRPr="009D3900" w:rsidRDefault="005D085A" w:rsidP="005D08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Госорган по продвижению экспорта,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ГП ЦЕО, АМАП КР, Ассоциация таможенных брокеров КР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DD2D15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B57692" w:rsidRPr="009D3900" w14:paraId="6D20AA29" w14:textId="77777777" w:rsidTr="00B57692">
        <w:trPr>
          <w:trHeight w:val="53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D82F0" w14:textId="77777777" w:rsidR="003A63E3" w:rsidRPr="009D3900" w:rsidRDefault="003A63E3" w:rsidP="003A6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F50D1F" w14:textId="6AAD6DB6" w:rsidR="003A63E3" w:rsidRPr="009D3900" w:rsidRDefault="00A91C8C" w:rsidP="003A63E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2.4.</w:t>
            </w:r>
            <w:r w:rsidR="005C6C33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="003A63E3" w:rsidRPr="009D3900">
              <w:rPr>
                <w:rFonts w:ascii="Times New Roman" w:eastAsia="Times New Roman" w:hAnsi="Times New Roman" w:cs="Times New Roman"/>
                <w:color w:val="000000"/>
              </w:rPr>
              <w:t>В пилотном режиме внедрить программу экспортного коучинга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55997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Разработана и внедрена программа экспортного коучинга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AF576" w14:textId="77777777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</w:rPr>
              <w:t xml:space="preserve">20 октябрь 2023г.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7703C" w14:textId="6E336046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</w:t>
            </w:r>
            <w:r w:rsidR="00725139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по продвижению экспорта, 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96265" w14:textId="5040FCF2" w:rsidR="003A63E3" w:rsidRPr="009D3900" w:rsidRDefault="003A63E3" w:rsidP="003A63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</w:t>
            </w:r>
            <w:r w:rsidR="00C327A4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помощи </w:t>
            </w:r>
          </w:p>
        </w:tc>
      </w:tr>
      <w:tr w:rsidR="003A63E3" w:rsidRPr="009D3900" w14:paraId="3541B64B" w14:textId="77777777" w:rsidTr="00B57692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D53F" w14:textId="788EE871" w:rsidR="003A63E3" w:rsidRPr="009D3900" w:rsidRDefault="003A63E3" w:rsidP="003A63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НАПРАВЛЕНИЕ</w:t>
            </w:r>
            <w:r w:rsidR="005C6C33"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 xml:space="preserve"> 3: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 xml:space="preserve"> ДОСТУП К ФИНАНСАМ</w:t>
            </w:r>
          </w:p>
        </w:tc>
      </w:tr>
      <w:tr w:rsidR="00B57692" w:rsidRPr="009D3900" w14:paraId="24AB0559" w14:textId="77777777" w:rsidTr="00B57692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C0D8" w14:textId="6226878F" w:rsidR="00B57692" w:rsidRPr="009D3900" w:rsidRDefault="00B57692" w:rsidP="005C6C33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Цель</w:t>
            </w:r>
            <w:r w:rsidR="00050DD0"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5C6C33"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1: Обеспечение экспортерам приоритетных секторов доступа к финансам</w:t>
            </w:r>
          </w:p>
        </w:tc>
      </w:tr>
      <w:tr w:rsidR="005C6C33" w:rsidRPr="009D3900" w14:paraId="498CE925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CE1AD7" w14:textId="0CAC3E94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Задача 3.1. Улучшение доступа к финансам для экспортоориентированных предприятий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6C5BCE" w14:textId="018DEEA3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3.1.1. Разработка и внедрение новых финансовых инструментов (торгового финансирования) для экспортных операций, а также продвижение существующих инструментов</w:t>
            </w:r>
          </w:p>
          <w:p w14:paraId="27E86F0B" w14:textId="77777777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5760D7" w14:textId="3D0890B2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Разработаны и внедрены новые финансовые инструменты в банковской системе для использования в экспортных поставках</w:t>
            </w:r>
          </w:p>
          <w:p w14:paraId="3B2AEB80" w14:textId="77777777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AF8B0AC" w14:textId="78996DB4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Расширено применение существующих инструментов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(торговое финансирование, аккредитивы, до экспортное и экспортное финансирование, контрактное финансирование и лизинг).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9E6863" w14:textId="09C0104D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 декабря 2023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093829" w14:textId="77777777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451776C1" w14:textId="4EBC79F3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НБКР (по согласованию, коммерческие банки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33AD52" w14:textId="7425FC24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</w:t>
            </w:r>
            <w:r w:rsidR="00C327A4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помощи </w:t>
            </w:r>
          </w:p>
        </w:tc>
      </w:tr>
      <w:tr w:rsidR="005C6C33" w:rsidRPr="009D3900" w14:paraId="29B2F09F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0D20FF" w14:textId="77777777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B79FD9" w14:textId="3042986E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3.1.2. Повышение осведомленности предпринимателей-экспортеров в части использования перспективных финансовых инструментов для развития экспорта;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5FE45" w14:textId="77777777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Информирование экспортеров о финансовых инструментах для развития экспорта.</w:t>
            </w:r>
          </w:p>
          <w:p w14:paraId="597BE6B4" w14:textId="77777777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E5AF1" w14:textId="7509F68C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2023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71165" w14:textId="77777777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360387F9" w14:textId="34631D65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НБКР (по согласованию, коммерческие банки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842CAE" w14:textId="2FFB551F" w:rsidR="005C6C33" w:rsidRPr="009D3900" w:rsidRDefault="005C6C33" w:rsidP="00B5769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</w:t>
            </w:r>
            <w:r w:rsidR="00C327A4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помощи </w:t>
            </w:r>
          </w:p>
        </w:tc>
      </w:tr>
      <w:tr w:rsidR="00C327A4" w:rsidRPr="009D3900" w14:paraId="3D7D35A9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93AE2" w14:textId="4DA538B6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04EAC3" w14:textId="0E23F70D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3.1.3. Определить критерии предоставления кредитов для экспортеров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EFBA8" w14:textId="0A246D47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Определены критерии предоставления кредитов для экспортеров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91414" w14:textId="18877396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2023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AF34F1" w14:textId="77777777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экспорта,</w:t>
            </w:r>
          </w:p>
          <w:p w14:paraId="6B841802" w14:textId="268ED8EB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НБКР (по согласованию, коммерческие банки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99EF46" w14:textId="6D656E02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</w:t>
            </w:r>
          </w:p>
        </w:tc>
      </w:tr>
      <w:tr w:rsidR="00C327A4" w:rsidRPr="009D3900" w14:paraId="1A3738E9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0EB361" w14:textId="77777777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0623C8" w14:textId="08E25980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3.1.4. Определить необходимость сопровождения экспортных кредитов со стороны банков и ответственность участников экспортных поставок.</w:t>
            </w:r>
          </w:p>
          <w:p w14:paraId="3D047B63" w14:textId="77777777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FE5510" w14:textId="38A48B48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Банки внедрили программы сопровождения экспортных кредитов со стороны банков и ответственность участников экспортных поставок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122753" w14:textId="62140C56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25 октября 2023г.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A9824A" w14:textId="77777777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НБКР, Коммерческие банки (по согласованию)</w:t>
            </w:r>
          </w:p>
          <w:p w14:paraId="527B4CD4" w14:textId="77777777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3F4B43" w14:textId="3C85B9D9" w:rsidR="00C327A4" w:rsidRPr="009D3900" w:rsidRDefault="00C327A4" w:rsidP="00C327A4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9D3900" w14:paraId="7C4AF143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325E2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8B69EF" w14:textId="29BBB069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3.1.5. Определить критерии поддержки экспортеров из республиканского бюджета при экспорте более 50% производимой продукции.</w:t>
            </w:r>
          </w:p>
          <w:p w14:paraId="56A105B9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9831A5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Определены критерии поддержки экспортеров из республиканского бюджета при экспорте более 50% производимой продукции.</w:t>
            </w:r>
          </w:p>
          <w:p w14:paraId="7A65740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A0D6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 </w:t>
            </w:r>
          </w:p>
          <w:p w14:paraId="55707817" w14:textId="7DDA20FC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2023 г.</w:t>
            </w:r>
          </w:p>
          <w:p w14:paraId="212041F3" w14:textId="56BBDE20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C9C80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НБКР, Коммерческие банки (по согласованию)</w:t>
            </w:r>
          </w:p>
          <w:p w14:paraId="6D8EDD38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C9944C" w14:textId="22E56FA3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9D3900" w14:paraId="183D4E05" w14:textId="77777777" w:rsidTr="003C1886">
        <w:trPr>
          <w:trHeight w:val="1807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215FAD" w14:textId="6F42E02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346A6" w14:textId="07DCEF1D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3.1.6. Рекомендовать фондам развития довести кредитование экспортно ориентированных предприятий не менее 50% от кредитного портфеля;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B952E6" w14:textId="5B27B80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Фондами развития (РКФР, УКФР, ВКФР и другие) довели кредитование экспортно ориентированных предприятий не менее 50% от кредитного портфеля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ADF5A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 </w:t>
            </w:r>
          </w:p>
          <w:p w14:paraId="77B5048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2024 г.</w:t>
            </w:r>
          </w:p>
          <w:p w14:paraId="767C2747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450E6D" w14:textId="2580D047" w:rsidR="004D6176" w:rsidRPr="009D3900" w:rsidRDefault="005D085A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МФ</w:t>
            </w:r>
            <w:r w:rsidR="004D6176" w:rsidRPr="009D3900">
              <w:rPr>
                <w:rFonts w:ascii="Times New Roman" w:eastAsia="Times New Roman" w:hAnsi="Times New Roman" w:cs="Times New Roman"/>
                <w:color w:val="000000"/>
              </w:rPr>
              <w:t>, Фонды развития (РКФР, УКФР, ВКФР и другие) (по согласованию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47315A" w14:textId="5C69650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Средства фондов </w:t>
            </w:r>
          </w:p>
        </w:tc>
      </w:tr>
      <w:tr w:rsidR="004D6176" w:rsidRPr="009D3900" w14:paraId="4CE78304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846DC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74B5FA" w14:textId="7CAE90A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3.1.7. Увеличение капитала и активов фондов развития на 10-50% и направление кредитование экспортно ориентированных предприятий не менее 50% от кредитного портфеля.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75F842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Увеличены капитал и активы фондов развития на 10-50% и направлены на кредитование экспортно ориентированных предприятий не менее 50% от кредитного портфеля.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C1DDE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B0DA2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Фонды развития (РКФР, УКФР, ВКФР и другие)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F6DF76" w14:textId="154DCD72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Средства фондов </w:t>
            </w:r>
          </w:p>
        </w:tc>
      </w:tr>
      <w:tr w:rsidR="004D6176" w:rsidRPr="009D3900" w14:paraId="16715CDB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84E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0043E6" w14:textId="60ABBA30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3.1.8. Разработка проекта Закона «О синдицированных кредитах» для поддержки экспортеров. </w:t>
            </w:r>
          </w:p>
          <w:p w14:paraId="6FC2424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B3A29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Разработан проект Закона «О синдицированных кредитах» </w:t>
            </w:r>
          </w:p>
          <w:p w14:paraId="0A760493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5A454F" w14:textId="420A9CC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2023 г.</w:t>
            </w:r>
          </w:p>
          <w:p w14:paraId="6C9A4042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A02167" w14:textId="59C30A2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МФ, МЭ</w:t>
            </w:r>
            <w:r w:rsidR="005D085A" w:rsidRPr="009D3900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, НБКР, (по согласованию), ОАО «Гарантийный фонд»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2E6F51" w14:textId="2BD9F44D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</w:t>
            </w:r>
          </w:p>
        </w:tc>
      </w:tr>
      <w:tr w:rsidR="00A72535" w:rsidRPr="009D3900" w14:paraId="7237C0C8" w14:textId="77777777" w:rsidTr="00A72535">
        <w:trPr>
          <w:trHeight w:val="1840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DD880" w14:textId="01D8F867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Задача 3.2. Внедрение системы страхования поставок для экспорта продукций</w:t>
            </w:r>
          </w:p>
          <w:p w14:paraId="19E9E8FA" w14:textId="0C0F5CFC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AE7330" w14:textId="4CDE1FD3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3.2.1. Подготовка обоснования создания экспортно-кредитного и страхового агентства при ОАО «Гарантийный фонд»;</w:t>
            </w:r>
          </w:p>
          <w:p w14:paraId="3D9B785E" w14:textId="77777777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6574CF" w14:textId="7DF20138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Подготовлено обоснование создания экспортно-кредитного и страхового агентства при ОАО «Гарантийный фонд»;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61FF76" w14:textId="31345B80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апрель 2023 г.</w:t>
            </w:r>
          </w:p>
          <w:p w14:paraId="1F3EE7B1" w14:textId="6F4FB499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4B3782" w14:textId="0010186F" w:rsidR="00A72535" w:rsidRPr="009D3900" w:rsidRDefault="006A5641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Госфиннадзор, </w:t>
            </w:r>
            <w:r w:rsidR="00A72535" w:rsidRPr="009D3900">
              <w:rPr>
                <w:rFonts w:ascii="Times New Roman" w:eastAsia="Times New Roman" w:hAnsi="Times New Roman" w:cs="Times New Roman"/>
                <w:color w:val="000000"/>
              </w:rPr>
              <w:t>НБКР, (по согласованию), ОАО «Гарантийный фонд»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9D57A3" w14:textId="06324F7C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Средства ОАО «Гарантийный фонд» (по согласованию)</w:t>
            </w:r>
          </w:p>
        </w:tc>
      </w:tr>
      <w:tr w:rsidR="00A72535" w:rsidRPr="009D3900" w14:paraId="591528AE" w14:textId="77777777" w:rsidTr="00A72535">
        <w:trPr>
          <w:trHeight w:val="144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3B0CF" w14:textId="77777777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62B03D" w14:textId="48D894EC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3.2.2. Создание экспортно-кредитного и страхового агентства при ОАО «Гарантийный фонд»;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101974" w14:textId="1F412F7B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Созданы экспортно-кредитного и страхового агентства при ОАО «Гарантийный фонд»;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D75247" w14:textId="77777777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июня 2024 г.</w:t>
            </w:r>
          </w:p>
          <w:p w14:paraId="6DAD7CBC" w14:textId="57C3B736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973368" w14:textId="74BE0DE1" w:rsidR="00A72535" w:rsidRPr="009D3900" w:rsidRDefault="006A5641" w:rsidP="006A5641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Госфиннадзор, </w:t>
            </w:r>
            <w:r w:rsidR="00A72535" w:rsidRPr="009D3900">
              <w:rPr>
                <w:rFonts w:ascii="Times New Roman" w:eastAsia="Times New Roman" w:hAnsi="Times New Roman" w:cs="Times New Roman"/>
                <w:color w:val="000000"/>
              </w:rPr>
              <w:t>МФ, ОАО «Гарантийный фонд»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9BE10A" w14:textId="53A13B93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Средства ОАО «Гарантийный фонд» (по согласованию)</w:t>
            </w:r>
          </w:p>
        </w:tc>
      </w:tr>
      <w:tr w:rsidR="00A72535" w:rsidRPr="009D3900" w14:paraId="270F020E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2483E0" w14:textId="77777777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370722" w14:textId="0273A1D9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3.2.3. Разработка и внедрение инструмента страхования экспортных поставок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(страхование экспорта; страхование факторинговых операций; страхование финансового лизинга; страхование экспортных контрактов и другие);</w:t>
            </w:r>
          </w:p>
          <w:p w14:paraId="5CE41D56" w14:textId="77777777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465AD6" w14:textId="28B71ACB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Разработаны инструменты страхования экспортных и импортных поставок в не менее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50% экспортных и импортных поставках;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841AE" w14:textId="25F478AD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 декабря 2023 г.</w:t>
            </w:r>
          </w:p>
          <w:p w14:paraId="4417A17A" w14:textId="71986C5A" w:rsidR="00A72535" w:rsidRPr="009D3900" w:rsidRDefault="00A72535" w:rsidP="00F26F8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9AA813" w14:textId="0BE3D3CC" w:rsidR="00A72535" w:rsidRPr="009D3900" w:rsidRDefault="00A72535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Госфиннадзор, </w:t>
            </w:r>
            <w:r w:rsidR="006A5641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Госорган по продвижению </w:t>
            </w:r>
            <w:r w:rsidR="006A5641"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экспорта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, страховые организации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2ECA2E" w14:textId="12FD05E8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 пределах выделенных бюджетных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ассигнований, привлечение донорской</w:t>
            </w:r>
          </w:p>
        </w:tc>
      </w:tr>
      <w:tr w:rsidR="00A72535" w:rsidRPr="009D3900" w14:paraId="07E1C37F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706B" w14:textId="77777777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5E9D1F" w14:textId="75B8C74A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3.2.4. Повышение осведомленности предпринимателей экспортеров в части использования страховых инст</w:t>
            </w:r>
            <w:r w:rsidR="00F26F82" w:rsidRPr="009D3900">
              <w:rPr>
                <w:rFonts w:ascii="Times New Roman" w:eastAsia="Times New Roman" w:hAnsi="Times New Roman" w:cs="Times New Roman"/>
                <w:color w:val="000000"/>
              </w:rPr>
              <w:t>рументов для развития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BEAFD0" w14:textId="51F648D1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Повышен уровень осведомленности предпринимателей экспортеров в части использования страховых инструментов для развития экспорта.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236A7" w14:textId="77777777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</w:t>
            </w:r>
          </w:p>
          <w:p w14:paraId="106B9A94" w14:textId="6427694D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15D558" w14:textId="15774473" w:rsidR="00A72535" w:rsidRPr="009D3900" w:rsidRDefault="00A72535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Госфиннадзор, </w:t>
            </w:r>
            <w:r w:rsidR="006A5641" w:rsidRPr="009D3900">
              <w:rPr>
                <w:rFonts w:ascii="Times New Roman" w:eastAsia="Times New Roman" w:hAnsi="Times New Roman" w:cs="Times New Roman"/>
                <w:color w:val="000000"/>
              </w:rPr>
              <w:t>Госорган по продвижению экспорта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, страховые организации 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A63F93" w14:textId="7B0300F8" w:rsidR="00A72535" w:rsidRPr="009D3900" w:rsidRDefault="00A72535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9D3900" w14:paraId="5E7C4CD0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F6B43" w14:textId="72132A7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Задача 3.3. Создание условий для привлечения коммерческими банками средств в капитал и активы банков.</w:t>
            </w:r>
          </w:p>
          <w:p w14:paraId="50087EA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1956E3" w14:textId="29176C6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3.3.1. Увеличение требований к капиталу банк</w:t>
            </w:r>
            <w:r w:rsidR="00F26F82" w:rsidRPr="009D3900">
              <w:rPr>
                <w:rFonts w:ascii="Times New Roman" w:eastAsia="Times New Roman" w:hAnsi="Times New Roman" w:cs="Times New Roman"/>
                <w:color w:val="000000"/>
              </w:rPr>
              <w:t>ов и их практическая реализация</w:t>
            </w:r>
          </w:p>
          <w:p w14:paraId="70EEC86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B9A39" w14:textId="1F9466D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Принято решение об увеличении требований к капиталу банков и их практическая реализация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A83F2A" w14:textId="0928586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lang w:val="ky-KG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2023г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90EC3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НБКР, Коммерческие банки (по согласованию)</w:t>
            </w:r>
          </w:p>
          <w:p w14:paraId="6A8C32E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7F1C6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Средства коммерческих банков</w:t>
            </w:r>
          </w:p>
          <w:p w14:paraId="1F88CF1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D6176" w:rsidRPr="009D3900" w14:paraId="1AEDFA57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1AFFF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D9778C" w14:textId="0D58CE7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3.3.2. Привлечение дополнительных кредитных средств в коммерческие банки для дальнейшего кредитования экспортно ориентированных предприятий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D5573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Ежегодное привлечение средств в активы коммерческих банков для кредитования экспортно ориентированных предприятий. </w:t>
            </w:r>
          </w:p>
          <w:p w14:paraId="11CC1C2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ED3C7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2025 г.</w:t>
            </w:r>
          </w:p>
          <w:p w14:paraId="5E60593C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456FDC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Коммерческие банки (по согласованию)</w:t>
            </w:r>
          </w:p>
          <w:p w14:paraId="314C299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7A737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Средства коммерческих банков</w:t>
            </w:r>
          </w:p>
          <w:p w14:paraId="51E3603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D6176" w:rsidRPr="009D3900" w14:paraId="575A5F8C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C50D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935E9D" w14:textId="213531B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3.3.3. Увеличение кредитования экспорта коммерческими банками с 5% от вновь выданных кредитов до 10%  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A16D2C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Увеличено кредитование экспорта коммерческими банками с 5% от вновь выданных кредитов до 10%   </w:t>
            </w:r>
          </w:p>
          <w:p w14:paraId="71E61D67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02F24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14689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НБКР, Коммерческие банки (по согласованию)</w:t>
            </w:r>
          </w:p>
          <w:p w14:paraId="49FCBBC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5F5C65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Средства коммерческих банков</w:t>
            </w:r>
          </w:p>
          <w:p w14:paraId="7FBB814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D6176" w:rsidRPr="009D3900" w14:paraId="74A40EBE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B98A90" w14:textId="0A80463E" w:rsidR="004D6176" w:rsidRPr="009D3900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Задача 3.4. Создание инфраструктуры поддержки частного сектора -экспортеров. </w:t>
            </w:r>
          </w:p>
          <w:p w14:paraId="6CDE28C5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CF1171" w14:textId="29806231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3.4.1. Проведение мероприятий с предприятиями-экспортерами по содействию и внедрению системы корпоративного управления предприятием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C8489C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Мероприятия по содействию и внедрению системы корпоративного управления предприятием проведены;</w:t>
            </w:r>
          </w:p>
          <w:p w14:paraId="13966F2D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1FDCE9E7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61230" w14:textId="3FB227D3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F4C261" w14:textId="2B848EC0" w:rsidR="004D6176" w:rsidRPr="009D3900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Госфиннадзор, </w:t>
            </w:r>
            <w:r w:rsidR="00725139" w:rsidRPr="009D3900">
              <w:rPr>
                <w:rFonts w:ascii="Times New Roman" w:eastAsia="Times New Roman" w:hAnsi="Times New Roman" w:cs="Times New Roman"/>
                <w:color w:val="000000"/>
              </w:rPr>
              <w:t>ОАО «Гарантийный фонд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="00725139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ТПП (по согласованию), бизнес-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сообщество КР (по согласованию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D208AF" w14:textId="23FB36A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пределах выделенных бюджетных ассигнований, привлечение донорской помощи</w:t>
            </w:r>
          </w:p>
        </w:tc>
      </w:tr>
      <w:tr w:rsidR="004D6176" w:rsidRPr="009D3900" w14:paraId="13EB0472" w14:textId="77777777" w:rsidTr="003C1886">
        <w:trPr>
          <w:trHeight w:val="53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1B7B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B198DC" w14:textId="16F5AE0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3.4.2. Рекомендовать НБКР предусматривать ежегодно в бюджете средства на увеличение капитала ОАО «Гарантийный фонд», привлекать средства международных доноров для увеличения капитализации ОАО «Гарантийный фонд»;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CFDBE7" w14:textId="577E4725" w:rsidR="004D6176" w:rsidRPr="009D3900" w:rsidRDefault="004D6176" w:rsidP="004D6176">
            <w:pPr>
              <w:tabs>
                <w:tab w:val="center" w:pos="621"/>
              </w:tabs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222222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Увеличен капитал ОАО «Гарантийный фонд», </w:t>
            </w:r>
            <w:r w:rsidRPr="009D3900">
              <w:rPr>
                <w:rFonts w:ascii="Times New Roman" w:eastAsia="Times New Roman" w:hAnsi="Times New Roman" w:cs="Times New Roman"/>
                <w:color w:val="222222"/>
              </w:rPr>
              <w:t>привлечены средства международных доноров для увеличения капитализации и активов ОАО «Гарантийный фонд»</w:t>
            </w:r>
          </w:p>
          <w:p w14:paraId="4041FE4C" w14:textId="5A341178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5834D" w14:textId="041C370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25 декабря 2023 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4AE4B5" w14:textId="020BEF4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НБКР , ОАО «Гарантийный фонд»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4D562" w14:textId="65DA4813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4D6176" w:rsidRPr="009D3900" w14:paraId="1E4CAFAE" w14:textId="77777777" w:rsidTr="003C1886">
        <w:trPr>
          <w:trHeight w:val="53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D3761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652779" w14:textId="31112CE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222222"/>
              </w:rPr>
              <w:t xml:space="preserve">3.4.3. Определить одним из приоритетных направлений деятельности ОАО «Гарантийный фонд» предоставление гарантий для экспортоориентированных предприятий.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7F065" w14:textId="31CD904B" w:rsidR="004D6176" w:rsidRPr="009D3900" w:rsidRDefault="004D6176" w:rsidP="004D6176">
            <w:pPr>
              <w:tabs>
                <w:tab w:val="center" w:pos="621"/>
              </w:tabs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222222"/>
              </w:rPr>
              <w:t xml:space="preserve">Определен одним из приоритетных направлений деятельности ОАО «Гарантийный фонд» предоставление кредитов и гарантий для экспортоориентированных предприятий.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E4FAD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036980" w14:textId="020F2A48" w:rsidR="004D6176" w:rsidRPr="009D3900" w:rsidRDefault="006A5641" w:rsidP="006A5641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ОАО «Гарантийный фонд», коммерческие банки (по согласованию), Госорган по продвижению экспорта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F3428B" w14:textId="20E4510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4D6176" w:rsidRPr="009D3900" w14:paraId="6D82DCE9" w14:textId="77777777" w:rsidTr="003C1886">
        <w:trPr>
          <w:trHeight w:val="53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181737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3F8328" w14:textId="3B539310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222222"/>
              </w:rPr>
            </w:pPr>
            <w:r w:rsidRPr="009D3900">
              <w:rPr>
                <w:rFonts w:ascii="Times New Roman" w:hAnsi="Times New Roman" w:cs="Times New Roman"/>
                <w:color w:val="000000" w:themeColor="text1"/>
              </w:rPr>
              <w:t>Рекомендовать коммерческим банкам и ОАО «Гарантийный фонд» внедрить факторинговые операции по сделкам экспортеров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0CF503" w14:textId="77777777" w:rsidR="004D6176" w:rsidRPr="009D3900" w:rsidRDefault="004D6176" w:rsidP="004D6176">
            <w:pPr>
              <w:tabs>
                <w:tab w:val="center" w:pos="621"/>
              </w:tabs>
              <w:spacing w:after="60" w:line="230" w:lineRule="atLeast"/>
              <w:jc w:val="both"/>
              <w:rPr>
                <w:rFonts w:ascii="Times New Roman" w:hAnsi="Times New Roman" w:cs="Times New Roman"/>
                <w:color w:val="222222"/>
              </w:rPr>
            </w:pPr>
            <w:r w:rsidRPr="009D3900">
              <w:rPr>
                <w:rFonts w:ascii="Times New Roman" w:hAnsi="Times New Roman" w:cs="Times New Roman"/>
                <w:color w:val="222222"/>
              </w:rPr>
              <w:t xml:space="preserve">Внедрены факторинговые операции для экспортеров </w:t>
            </w:r>
          </w:p>
          <w:p w14:paraId="7A9757C4" w14:textId="77777777" w:rsidR="004D6176" w:rsidRPr="009D3900" w:rsidRDefault="004D6176" w:rsidP="004D6176">
            <w:pPr>
              <w:tabs>
                <w:tab w:val="center" w:pos="621"/>
              </w:tabs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0EE9EC" w14:textId="791C0BE2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март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30D5FB" w14:textId="13B86BF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ОАО «Гарантийный фонд», комм</w:t>
            </w:r>
            <w:r w:rsidR="006A5641" w:rsidRPr="009D3900">
              <w:rPr>
                <w:rFonts w:ascii="Times New Roman" w:eastAsia="Times New Roman" w:hAnsi="Times New Roman" w:cs="Times New Roman"/>
                <w:color w:val="000000"/>
              </w:rPr>
              <w:t>ерческие банки (по согласованию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8DD075" w14:textId="18BC3E12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ассигнований, привлечение донорской помощи</w:t>
            </w:r>
          </w:p>
        </w:tc>
      </w:tr>
      <w:tr w:rsidR="004D6176" w:rsidRPr="009D3900" w14:paraId="3CCCE62D" w14:textId="77777777" w:rsidTr="00E46251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B85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EE51B02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НАПРАВЛЕНИЕ 4: НАЦИОНАЛЬНАЯ ИНФРАСТРУКТУРА КАЧЕСТВА</w:t>
            </w:r>
          </w:p>
          <w:p w14:paraId="3FF1DD8B" w14:textId="24D5F35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D6176" w:rsidRPr="009D3900" w14:paraId="32CBF365" w14:textId="77777777" w:rsidTr="00E46251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1A5C" w14:textId="787D7F6A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Цель 1: Совершенствование правовых механизмов и обеспечение внедрения международных/региональных стандартов для продвижения продукции на экспортные рынки</w:t>
            </w:r>
          </w:p>
        </w:tc>
      </w:tr>
      <w:tr w:rsidR="004D6176" w:rsidRPr="009D3900" w14:paraId="44726C27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1047A9" w14:textId="666996B1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Задача 4.1. Обеспечение требований по исполнению СФС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мер, ТР ТС, требований к продукции импортирующей стороны и стандартов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99EEF2" w14:textId="7AFEB9B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Hlk118973249"/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4.1.1. Повышение потенциала СФС служб по внедрению анализа риска при введении и применении CФC мер,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связанных с экспортом продукции </w:t>
            </w:r>
            <w:bookmarkEnd w:id="1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707782" w14:textId="5CCE80B2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Проведение обучения на регулярной основе в соответствии с международными стандартами и рекомендациями.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5758B" w14:textId="0CBAA64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B52488" w14:textId="02DEB27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МСХ</w:t>
            </w:r>
          </w:p>
          <w:p w14:paraId="3E9B1BA1" w14:textId="08475C9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7FC9ED" w14:textId="192C365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привлечение донорской помощи </w:t>
            </w:r>
          </w:p>
        </w:tc>
      </w:tr>
      <w:tr w:rsidR="004D6176" w:rsidRPr="009D3900" w14:paraId="799FFE3C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EF446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086E7" w14:textId="11A81EA3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4.1.2. Разработка Программы контроля за содержанием вредных веществ и их остатков в организме живых животных и продукции животного происхождения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E41114" w14:textId="6D58E803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Программа контроля за содержанием вредных веществ и их остатков в организме живых животных и продукции животного происхождения, упрощение поставок экспортной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6FF8D8" w14:textId="188226B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 июня 2024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A425F" w14:textId="341B432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C1106D" w14:textId="73C760B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</w:t>
            </w:r>
            <w:r w:rsidR="00725139" w:rsidRPr="009D3900">
              <w:rPr>
                <w:rFonts w:ascii="Times New Roman" w:eastAsia="Times New Roman" w:hAnsi="Times New Roman" w:cs="Times New Roman"/>
                <w:color w:val="000000"/>
              </w:rPr>
              <w:t>ний, привлечение донорской помощ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</w:p>
        </w:tc>
      </w:tr>
      <w:tr w:rsidR="004D6176" w:rsidRPr="009D3900" w14:paraId="037B9B60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19868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4A53D6" w14:textId="2C28E3B0" w:rsidR="004D6176" w:rsidRPr="009D3900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bookmarkStart w:id="2" w:name="_Hlk118973294"/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4.1.3. Разработка Программы по созданию в КР зон свободных от ящура в соответствии с международными стандартами</w:t>
            </w:r>
            <w:bookmarkEnd w:id="2"/>
            <w:r w:rsidRPr="009D3900">
              <w:rPr>
                <w:rFonts w:ascii="Times New Roman" w:eastAsia="Times New Roman" w:hAnsi="Times New Roman" w:cs="Times New Roman"/>
                <w:color w:val="000000"/>
              </w:rPr>
              <w:t>. Вид подконтрольных товаров: животные, продукты убоя и продукты переработки мяса, молоко и молочные продукты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A1C37D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Программа по зонированию Иссык-Кульской, Нарынской областей на пилотной основе. Установление статусов Иссык-Кульской, Нарынской областей благополучных с вакцинацией зон по ящуру.</w:t>
            </w:r>
          </w:p>
          <w:p w14:paraId="4A7F4070" w14:textId="6CD54CC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Снижения издержек для бизнеса при прохождении процедур ветеринарного контроля/надзора в стране пребывания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D7E0BB" w14:textId="59C46033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 мая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D529D2" w14:textId="14A8D2CB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2267F" w14:textId="71EAB438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9D3900" w14:paraId="22B835CA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8D011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6E8653" w14:textId="24F81F13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4.1.4. Получение сертификатов о признании статусов Международного эпизоотического бюро (при необходимости)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23EAE2" w14:textId="2DEF2E41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Сертификаты о признании статусов Международного эпизоотического бюро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69394" w14:textId="74FD739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 декабря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886671" w14:textId="3314557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МСХ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CEC715" w14:textId="0C28D64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9D3900" w14:paraId="7A6C61CD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EBA0B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81F342" w14:textId="475F43B1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4.1.5. Внедрение процедур фитосанитарной сертификации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соответствии с международными стандартами по фитосанитарным мерам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ISPM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№7 и 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E1634" w14:textId="70153BA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Признание системы фитосанитарной сертификации странами- импортерами, упрощение поставок на экспортные рынки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867997" w14:textId="768CA5DA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 июля 2025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F3989B" w14:textId="435474D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324ACC" w14:textId="598122B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9D3900" w14:paraId="4E13809D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9F330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74F558" w14:textId="6ABB013B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bookmarkStart w:id="3" w:name="_Hlk118973345"/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4.1.6. Разработка и внедрение национальной системы прослеживаемости подкарантинной продукции, </w:t>
            </w:r>
            <w:bookmarkEnd w:id="3"/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включая свежие фрукты, овощи, картофель, сухофрукты, орехи, фасоль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340E0D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Разработка Порядков и внедрение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национальной системы прослеживаемости для свободного перемещения:</w:t>
            </w:r>
          </w:p>
          <w:p w14:paraId="110BDED2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подкарантинной продукции;</w:t>
            </w:r>
          </w:p>
          <w:p w14:paraId="0F6FC674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- животных и продукции животного происхождения.</w:t>
            </w:r>
          </w:p>
          <w:p w14:paraId="2EF5297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4423FB" w14:textId="4C317E4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20 декабря 2025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2509AE" w14:textId="68D3A09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F14C94" w14:textId="156D306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привлечение донорской помощи </w:t>
            </w:r>
          </w:p>
        </w:tc>
      </w:tr>
      <w:tr w:rsidR="004D6176" w:rsidRPr="009D3900" w14:paraId="347D7288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F3DAE8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1A736" w14:textId="765C739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4.1.7. Разработка и внедрение национальной системы прослеживаемости животных и продукции животного происхождения "от фермы до прилавка", включая молоко и молочные продукты, мясо и мясные продукты, </w:t>
            </w:r>
            <w:r w:rsidRPr="009D390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мед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D390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натуральный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188D8B" w14:textId="6CB233E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Упрощение процедур, связанных с необходимостью выпуска продукции в обращение на рынок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и сокращение затрат на их проведение на 10-20%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FAFFE9" w14:textId="0D8EF30B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709A7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МСХ</w:t>
            </w:r>
          </w:p>
          <w:p w14:paraId="6738757E" w14:textId="010A116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0059AE" w14:textId="5E4B73F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ассигнований, привлечение донорской помощи </w:t>
            </w:r>
          </w:p>
        </w:tc>
      </w:tr>
      <w:tr w:rsidR="004D6176" w:rsidRPr="009D3900" w14:paraId="6FA8896D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E02508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F967A4" w14:textId="199381A8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4.1.8. Подготовка предложений по актуализации Перечней стандартов, содержащих правила и методы исследований (испытаний) и измерений, в том числе правила отбора образцов, необходимых для применения и исполнения ТР ЕАЭС и осуществления оценки (подтверждения) соответствия продукции с учетом принятия международно признанных методов тестирования на экспортные виды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539898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Перечень стандартов к ТР ТС/ЕАЭС направлен в Комиссию ЕЭК на рассмотрение в отношении пищевой продукции по ТР ТС 021/2011, ТР ТС 005/2011, ТР ТС 029/2012, ТР ТС 023/2011,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TP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ТС 027/2012, ТР ТС 033/2013, ТР ЕАЭС 044/2017, ТР ТС 034/2013, ТР ЕАЭС 040/2016, ТР ЕАЭС 051/2021;</w:t>
            </w:r>
          </w:p>
          <w:p w14:paraId="4509E036" w14:textId="2D11C6C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- в отношении продукции легкой промышленности (текстиль и швейные изделия, в т.ч. традиционные изделия ручной работы, обувь) по ТР ТС 017/2011, ТР ТС 007/2011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B4518" w14:textId="1FBABF6C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C67C84" w14:textId="4CC26B61" w:rsidR="004D6176" w:rsidRPr="009D3900" w:rsidRDefault="004D6176" w:rsidP="00F26F8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ЦСМ, МЭК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A3A2C8" w14:textId="0AEE21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4D6176" w:rsidRPr="009D3900" w14:paraId="115A1A0F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A5EA9F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26CF5F" w14:textId="0B68793C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4.1.9. Применение международных,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региональных стандартов, стандартов других государств на методы испытаний (исследований) на экспортную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EE41DB" w14:textId="779F4BFD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принятых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стандартов. Повышение уровня гармонизации национальных стандартов до 58%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1604C" w14:textId="0CA3DEBB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839A0" w14:textId="26D590E3" w:rsidR="004D6176" w:rsidRPr="009D3900" w:rsidRDefault="00F26F82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ЦСМ, МЭ</w:t>
            </w:r>
            <w:r w:rsidR="004D6176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8765D3" w14:textId="48A6C66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4D6176" w:rsidRPr="009D3900" w14:paraId="35889C2C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86509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CE424F" w14:textId="2329A98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4.1.10.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Разработка Закона «О стандартизации»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D2DD44" w14:textId="077E6A1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Принятие Закона «О стандартизации»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7F4A40" w14:textId="7E7B25D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 июня 2024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05D34" w14:textId="08A9BCAB" w:rsidR="004D6176" w:rsidRPr="009D3900" w:rsidRDefault="00F26F82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МЭ</w:t>
            </w:r>
            <w:r w:rsidR="004D6176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К, ЦСМ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147992" w14:textId="549961D1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4D6176" w:rsidRPr="009D3900" w14:paraId="7D986C1E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D2631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302419" w14:textId="7DBB400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4.1.11. Актуализация перечня обязательных требований продукции, действующих в странах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5BC82" w14:textId="1DA9BF6C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Перечень обязательных требований продукции, действующих в странах экспорта, включая КНР, Турция, ЕС, стран Персидского залива, размещен на официальном интернет портале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D9082" w14:textId="64694B22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 июля 2023 г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1D976D" w14:textId="3D79186D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НАИ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472663" w14:textId="7CAC16B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4D6176" w:rsidRPr="009D3900" w14:paraId="4264AF57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2D9C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34DD28" w14:textId="3B756E05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4.1.12. Опубликование на официальных интернет-ресурсах информации:</w:t>
            </w:r>
          </w:p>
          <w:p w14:paraId="4B1512FC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- об обязательных и добровольных требованиях к продукции,</w:t>
            </w:r>
          </w:p>
          <w:p w14:paraId="02862405" w14:textId="13A5B7F3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- о процедурах допуска на рынки страны экспорта продукции,</w:t>
            </w:r>
          </w:p>
          <w:p w14:paraId="6F207874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- о требуемых документах,</w:t>
            </w:r>
          </w:p>
          <w:p w14:paraId="1CE8B5E8" w14:textId="4BB9F38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- об уполномоченных (назначенных) органах в странах экспорта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973EE7" w14:textId="2F08E41A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Информация о требованиях, процедурах допуска на рынки страны экспорта продукции, необходимых документах, уполномоченных органах и стоимости услуг доступна на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официальных сайтах соответствующих министерств и ведомств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54F18C" w14:textId="578E97B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 декабря 2023 г.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C3423B" w14:textId="72B79A0D" w:rsidR="004D6176" w:rsidRPr="009D3900" w:rsidRDefault="006A5641" w:rsidP="006A5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Госорган по продвижению экспорта, </w:t>
            </w:r>
            <w:r w:rsidR="004D6176" w:rsidRPr="009D3900">
              <w:rPr>
                <w:rFonts w:ascii="Times New Roman" w:eastAsia="Times New Roman" w:hAnsi="Times New Roman" w:cs="Times New Roman"/>
                <w:color w:val="000000"/>
              </w:rPr>
              <w:t>МСХ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4D6176" w:rsidRPr="009D3900">
              <w:rPr>
                <w:rFonts w:ascii="Times New Roman" w:eastAsia="Times New Roman" w:hAnsi="Times New Roman" w:cs="Times New Roman"/>
                <w:color w:val="000000"/>
              </w:rPr>
              <w:t>МЗ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, МЭ</w:t>
            </w:r>
            <w:r w:rsidR="004D6176" w:rsidRPr="009D3900">
              <w:rPr>
                <w:rFonts w:ascii="Times New Roman" w:eastAsia="Times New Roman" w:hAnsi="Times New Roman" w:cs="Times New Roman"/>
                <w:color w:val="000000"/>
              </w:rPr>
              <w:t>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D09805" w14:textId="5499ACF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4D6176" w:rsidRPr="009D3900" w14:paraId="7352C088" w14:textId="77777777" w:rsidTr="00E46251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0A0F" w14:textId="15F99487" w:rsidR="004D6176" w:rsidRPr="009D3900" w:rsidRDefault="004D6176" w:rsidP="004D61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Цель 2</w:t>
            </w:r>
            <w:r w:rsidR="00DE2977" w:rsidRPr="009D3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.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 Модернизация институтов по оценке соответствия и метрологии в целях содействия продвижению продукции на экспортные рынки</w:t>
            </w:r>
          </w:p>
        </w:tc>
      </w:tr>
      <w:tr w:rsidR="004D6176" w:rsidRPr="009D3900" w14:paraId="7990B724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8AFB37" w14:textId="6A04C1C9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4" w:name="_Hlk118974703"/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Задача 4.2. Достижение достаточной технической компетентности</w:t>
            </w:r>
          </w:p>
          <w:p w14:paraId="62D41A63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лабораторной инфраструктуры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  <w:p w14:paraId="56CA5D6B" w14:textId="7E0524A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и расширение спектра предоставляемых услуг</w:t>
            </w:r>
            <w:bookmarkEnd w:id="4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C8704A" w14:textId="43587102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5" w:name="_Hlk118974663"/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4.2.1. Определение назначенных испытательных лабораторий (Центров), обеспечивающих проведение испытаний и/или исследований </w:t>
            </w:r>
            <w:r w:rsidRPr="009D390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области применения СФС мер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bookmarkEnd w:id="5"/>
          <w:p w14:paraId="0688A79E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Испытательная лаборатория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 xml:space="preserve"> контроля качества ветеринарных лекарственных средств и 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lastRenderedPageBreak/>
              <w:t>кормовых добавок (г. Бишкек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2C6EB334" w14:textId="43931EFB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- с проведением экспертизы качества, эффективности и безопасности ветеринарных лекарственных средств и кормовых добавок для целей государственной регистрации и сертификации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E04A06" w14:textId="2CD11028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Принято постановление Кабинета Министров КР</w:t>
            </w:r>
          </w:p>
          <w:p w14:paraId="5A68B81B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69F37BF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4BA54C8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87D488D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E3B1C01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57D239E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D7795A4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B5EA7AA" w14:textId="2CCC1CBF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Охват контроля качества, эффективности и безопасности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ветеринарных лекарственных средств и кормовых добавок</w:t>
            </w:r>
          </w:p>
          <w:p w14:paraId="2DDDA9DC" w14:textId="7953188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Обеспечение подтверждения технической компетентности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2F3749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 декабря 2023г.</w:t>
            </w:r>
          </w:p>
          <w:p w14:paraId="627ED41D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2F5A60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2BFAF2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7E825CE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DEB411F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19A89E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A081B47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84A925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BCA19D7" w14:textId="4959B872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25 июля 2025 г.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0A0AA7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МСХ</w:t>
            </w:r>
          </w:p>
          <w:p w14:paraId="034E1A6F" w14:textId="7C4D0AB0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(Департамент по регистрации и сертификации ветеринарных лекарственных средств и кормовых добавок при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МСХ)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58D92E" w14:textId="4BA64229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ассигнований привлечение донорской помощи </w:t>
            </w:r>
          </w:p>
        </w:tc>
      </w:tr>
      <w:tr w:rsidR="004D6176" w:rsidRPr="009D3900" w14:paraId="24B8884D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65B559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EAD813" w14:textId="2ADFE343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4.2.2.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 xml:space="preserve"> Центр ветеринарной диагностики и экспертизы Ветеринарной службы (г. Бишкек и г.Ош)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– с проведением ветеринарно-диагностических исследований; испытаний продовольственного сырья животного происхождения, в том числе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молоко, мясо всех животных, мед натуральный, рыба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целях ветеринарно-санитарной экспертизы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3546BF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Охват испытаний продовольственного сырья животного происхождения</w:t>
            </w:r>
          </w:p>
          <w:p w14:paraId="7EE7B120" w14:textId="5870B323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ТР ТС 021/2011 ТР ТС 033/2013, ТР ТС 034/2013, ТР ЕАЭС 040/2016</w:t>
            </w:r>
          </w:p>
          <w:p w14:paraId="76952AB8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67001FC" w14:textId="19830B1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Обеспечение подтверждения технической компетентности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08D30E" w14:textId="4B793428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873F6D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МСХ</w:t>
            </w:r>
          </w:p>
          <w:p w14:paraId="77957486" w14:textId="579929D0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ЦВДиЭ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A42F54" w14:textId="6942302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  и привлечение донорской помощи</w:t>
            </w:r>
          </w:p>
        </w:tc>
      </w:tr>
      <w:tr w:rsidR="004D6176" w:rsidRPr="009D3900" w14:paraId="1DA11D00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269DC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C242BE" w14:textId="0FE99C8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4.2.3.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 xml:space="preserve"> Центральная лаборатория по карантину растений Департамент химизации, защиты и карантина растений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(г. Бишкек и г. Ош)</w:t>
            </w:r>
          </w:p>
          <w:p w14:paraId="2C806750" w14:textId="25338FA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- с выявлением и идентификацией карантинных вредных объектов и регулируемых не карантинных вредных организмов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подкарантинной продукции (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фрукты, овощи свежие, картофель, сухофрукты, фасоль и орехи)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08377C" w14:textId="6DBA561B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Охват испытаний подкарантинной продукции, поставляемой на экспорт и предупреждение распространения вредителей.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Обеспечение подтверждения технической компетентности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457E91" w14:textId="3D1A2E5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F5A6C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МСХ</w:t>
            </w:r>
          </w:p>
          <w:p w14:paraId="00155772" w14:textId="5C3C93F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Департамент химизации, защиты и карантина растений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C870ED" w14:textId="32693E89" w:rsidR="004D6176" w:rsidRPr="009D3900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35D3248A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7DCB05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1C5BEE" w14:textId="03D51EB5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4.2.4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.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US"/>
              </w:rPr>
              <w:t>Контрольно-токсикологические лаборатории Департамента химизации, защиты и карантина растений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 (г. Бишкек и г. Ош )</w:t>
            </w:r>
          </w:p>
          <w:p w14:paraId="46E2767A" w14:textId="4DFF6DD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с проведением исследований\испытаний минеральных удобрений и пестицидов, почв, воды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за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контролем растительной продукцией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6D30A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Охват исследования\испытания минеральных удобрений и пестицидов, почв, воды</w:t>
            </w:r>
          </w:p>
          <w:p w14:paraId="78E8034E" w14:textId="1EF0FF78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Обеспечение подтверждения технической компетентности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D3B122" w14:textId="113CF46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3F517A" w14:textId="1674B7C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МСХ Департамент химизации, защиты и карантина растений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256CFF" w14:textId="3B6525D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</w:t>
            </w:r>
            <w:r w:rsidR="00725139"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енных бюджетных ассигнований и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привлечение донорской помощи</w:t>
            </w:r>
          </w:p>
        </w:tc>
      </w:tr>
      <w:tr w:rsidR="004D6176" w:rsidRPr="009D3900" w14:paraId="7F6A8260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C48888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B6B920" w14:textId="266931E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4.2.5. Проработка вопроса по 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озданию ихтиопатологической лаборатории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;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включая выбор(строительство) помещения, разработку/принятие документов, по проведению диагностических исследований по выявлению возбудителей инфекционного и инвазионного заболеваний рыб водоёмов и среды обитания; обучение специалистов ИЛ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8D3DF" w14:textId="6A9FB668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Внедрение эффективных методов борьбы с болезнями рыб и других гидробионтов внутренних водоемов, а также оказание помощи рыбоводческим хозяйства и предприятиям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4E448" w14:textId="56DF5651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0AF602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МСХ</w:t>
            </w:r>
          </w:p>
          <w:p w14:paraId="6A8C7B0C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Департамент рыбного хозяйства</w:t>
            </w:r>
          </w:p>
          <w:p w14:paraId="358688EE" w14:textId="2A5970C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ЦВД и 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3FE616" w14:textId="7E8333B8" w:rsidR="004D6176" w:rsidRPr="009D3900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47A991A4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125D7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12F15" w14:textId="5E34E192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bookmarkStart w:id="6" w:name="_Hlk118974809"/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4.2.6. Определение назначенных испытательных лабораторий (Центров), </w:t>
            </w:r>
            <w:r w:rsidRPr="009D390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US"/>
              </w:rPr>
              <w:t>обеспечивающих проведение испытаний экспортной пищевой продукции</w:t>
            </w:r>
          </w:p>
          <w:bookmarkEnd w:id="6"/>
          <w:p w14:paraId="3617DE05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US"/>
              </w:rPr>
              <w:t xml:space="preserve">Центр лабораторных испытаний Департамента профилактики заболеваний и госсанэпиднадзора 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(г. 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lastRenderedPageBreak/>
              <w:t>Бишкек и г. Ош)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– с проведением испытаний упакованной питьевой воды, включая природную минеральную воду;</w:t>
            </w:r>
          </w:p>
          <w:p w14:paraId="4CAD31CB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14:paraId="2B5C19A1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US"/>
              </w:rPr>
              <w:t>Центр лабораторных испытаний Департамента профилактики заболеваний и госсанэпиднадзора (г. Бишкек и г. Ош)</w:t>
            </w:r>
          </w:p>
          <w:p w14:paraId="07500A03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и</w:t>
            </w:r>
          </w:p>
          <w:p w14:paraId="249CC45F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US"/>
              </w:rPr>
              <w:t>Лаборатория испытаний пищевой и ссельскохозяйственной продукции Бишкекского центра испытаний, сертификации и метрологии Центра стандартизации и метрологии</w:t>
            </w:r>
          </w:p>
          <w:p w14:paraId="0E97A320" w14:textId="2D263B9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 проведением испытаний на</w:t>
            </w: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молоко пастеризованное и молочную продукцию; мясную, рыбную продукцию, напитки безалкогольные,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включая национальные напитки, сухофрукты и орехи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 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D90FD4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14:paraId="27AFC0B7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14:paraId="17AC4536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14:paraId="4B7FAD86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14:paraId="76A24824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14:paraId="4D9F92B7" w14:textId="7C30C92A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Охват испытаний ИЛ ДПЗ и ГСЭН (г. Бишкек и г. Ош) по ТР ЕАЭС 044/2017</w:t>
            </w:r>
          </w:p>
          <w:p w14:paraId="7DCC42D4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Обеспечение подтверждения технической компетентности</w:t>
            </w:r>
          </w:p>
          <w:p w14:paraId="202CC2BE" w14:textId="77777777" w:rsidR="004D6176" w:rsidRPr="009D3900" w:rsidRDefault="004D6176" w:rsidP="004D6176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14:paraId="3EBCECF3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14:paraId="7037B316" w14:textId="0C4EEAD6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Охват испытаний ИЛ ДПЗ и ГСЭН (г. Бишкек и г. Ош) и ИЛ БЦИСМ (Бишкеке) по ТР ТС 021/2011, ТР ТС 005/2011, ТР ТС 029/2012, ТР ТС 023/2011,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TP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ТС 027/2012, ТР ТС 033/2013, ТР ТС 034/2013, ТР ЕАЭС 040/2016</w:t>
            </w:r>
          </w:p>
          <w:p w14:paraId="6A59CBC1" w14:textId="6C1CFF2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Обеспечение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подтверждения технической компетентности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EA8FBF" w14:textId="50BF9B5A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 декабря 2024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708478" w14:textId="314058D3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МЗ, </w:t>
            </w:r>
          </w:p>
          <w:p w14:paraId="2196AC4A" w14:textId="089DCBD4" w:rsidR="004D6176" w:rsidRPr="009D3900" w:rsidRDefault="006A5641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МЭ</w:t>
            </w:r>
            <w:r w:rsidR="004D6176" w:rsidRPr="009D3900">
              <w:rPr>
                <w:rFonts w:ascii="Times New Roman" w:eastAsia="Times New Roman" w:hAnsi="Times New Roman" w:cs="Times New Roman"/>
                <w:color w:val="000000"/>
              </w:rPr>
              <w:t>К,</w:t>
            </w:r>
          </w:p>
          <w:p w14:paraId="19E7D9CC" w14:textId="7C6976B2" w:rsidR="004D6176" w:rsidRPr="009D3900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ДПЗ и ГСЭН, БЦИСМ</w:t>
            </w:r>
          </w:p>
          <w:p w14:paraId="6E9943B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C6A4B6" w14:textId="06D39837" w:rsidR="004D6176" w:rsidRPr="009D3900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1CA8F35E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D92CB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2E50F4" w14:textId="297AF24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4.2.7. Определение назначенных испытательных лабораторий (Центров), обеспечивающих проведение испытаний </w:t>
            </w:r>
            <w:bookmarkStart w:id="7" w:name="_Hlk118974835"/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товаров легкой промышленности, включая текстиль, швейные и трикотажные изделия, в т.ч. традиционные изделия ручной работы, обувь:</w:t>
            </w:r>
          </w:p>
          <w:p w14:paraId="6AD88CC6" w14:textId="5DB990F5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14:paraId="32F7BDE8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US"/>
              </w:rPr>
              <w:t>Центр лабораторных испытаний Департамента профилактики заболеваний и госсанэпиднадзора (г. Бишкек)</w:t>
            </w:r>
          </w:p>
          <w:p w14:paraId="653D32D0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14:paraId="32FAFE4A" w14:textId="77D344FA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US"/>
              </w:rPr>
              <w:t>Испытательная лаборатория товаров народного потребления, тары и упаковки Бишкекского центра испытаний, сертификации и метрологии</w:t>
            </w:r>
          </w:p>
          <w:bookmarkEnd w:id="7"/>
          <w:p w14:paraId="54958A1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BBC532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Принято постановление КМ КР </w:t>
            </w:r>
          </w:p>
          <w:p w14:paraId="3B06A5E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ECD6A7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7F14AD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827246F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EED7C8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FABA62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5307528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00073BE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65D188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D00EA23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E855C0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FCAC90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7DFD992" w14:textId="6D28C2EC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Охват испытаний ИЛ ДПЗ и ГСЭН (г. Бишкек) и ИЛ БЦИСМ (Бишкеке) по ТР ЕАЭС 017/2011 и ТР ЕАЭС 007/201</w:t>
            </w:r>
            <w:r w:rsidRPr="009D3900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Обеспечение подтверждения технической компетентности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C5BB6F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 декабря 2023г.</w:t>
            </w:r>
          </w:p>
          <w:p w14:paraId="77123E5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C4DE20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3A8B03E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7164BF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ED015C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8F097AD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0209DE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FA8D7BE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846765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125261D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0D7F812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C8BF35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8A3BFF3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9341042" w14:textId="205C1BD0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2024 г.</w:t>
            </w:r>
          </w:p>
          <w:p w14:paraId="31AA6C83" w14:textId="323688A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69C72A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МЗ (ДПЗ и ГСЭН)</w:t>
            </w:r>
          </w:p>
          <w:p w14:paraId="7211B973" w14:textId="28A13518" w:rsidR="004D6176" w:rsidRPr="009D3900" w:rsidRDefault="006A5641" w:rsidP="00F26F82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МЭ</w:t>
            </w:r>
            <w:r w:rsidR="004D6176" w:rsidRPr="009D3900">
              <w:rPr>
                <w:rFonts w:ascii="Times New Roman" w:eastAsia="Times New Roman" w:hAnsi="Times New Roman" w:cs="Times New Roman"/>
                <w:color w:val="000000"/>
              </w:rPr>
              <w:t>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046524" w14:textId="2058B990" w:rsidR="004D6176" w:rsidRPr="009D3900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613A5080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8A0E5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54EB5C" w14:textId="48070ADE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bookmarkStart w:id="8" w:name="_Hlk118974931"/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4.2.8. Разработка и утверждение Дорожных карт по дооснащению назначенных лабораторий и увеличению объема требуемых испытаний</w:t>
            </w:r>
            <w:bookmarkEnd w:id="8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D5F47A" w14:textId="3E78CDBB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</w:rPr>
              <w:t>Дорожные карты разработаны и утверждены приказом руководителей ведомств</w:t>
            </w:r>
            <w:r w:rsidRPr="009D390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</w:rPr>
              <w:t>с указанием видов продукции, испытаний и/или исследований, которые планируется обеспечить в соответствии с требованиям и методами рынков ЕАЭС, зарубежных стран, с указанием ответственных исполнителей»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0ADCE" w14:textId="3B79419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декабрь 2023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083EF4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МСХ</w:t>
            </w:r>
          </w:p>
          <w:p w14:paraId="58641891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МЗ</w:t>
            </w:r>
          </w:p>
          <w:p w14:paraId="7AE8AE98" w14:textId="4B7EB295" w:rsidR="004D6176" w:rsidRPr="009D3900" w:rsidRDefault="004D6176" w:rsidP="006A5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7EF999" w14:textId="2A411D6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  привлечение донорской помощи</w:t>
            </w:r>
          </w:p>
        </w:tc>
      </w:tr>
      <w:tr w:rsidR="004D6176" w:rsidRPr="009D3900" w14:paraId="7FA9FEBF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C57DB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AF02F6" w14:textId="77C86E73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4.2.9. Обеспечение приоритетного бюджетного финансирования на затраты, связанные с дооснащением назначенных лабораторий (реализация дорожной карты) при проведении испытаний и/или исследований для экспортной продукции, включая в том числе:</w:t>
            </w:r>
          </w:p>
          <w:p w14:paraId="10118A16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приобретение и внедрение международных методик и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проведение испытаний по ним;</w:t>
            </w:r>
          </w:p>
          <w:p w14:paraId="0BEB2511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приобретение реактивов и референс –материалов;</w:t>
            </w:r>
          </w:p>
          <w:p w14:paraId="4D755609" w14:textId="56F9C40F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систематическое участие в программах проверки квалификации, отвечающих требованиям ISO|IEC 17043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726EB6" w14:textId="78D650EC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Разработка и принятие механизма приоритетного бюджетного финансирования опорных лабораторий на проведение испытаний и/или исследований для экспортной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0E14FC" w14:textId="5142CDAD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47CB5C" w14:textId="4A56412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14AA9" w14:textId="646594F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  привлечение донорской помощи</w:t>
            </w:r>
          </w:p>
        </w:tc>
      </w:tr>
      <w:tr w:rsidR="004D6176" w:rsidRPr="009D3900" w14:paraId="1FBE95AF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EADC1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08FDF2" w14:textId="038457B2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4.2.10. Создание и усиление потенциала поставщиков программ проверки квалификации на качество в области пищевых продуктов, включая воду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03063B" w14:textId="0D9BD728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Внедрение и расширение услуг поставщиков программ проверки квалификации на качество в области пищевых продуктов, включая воду по микробиологическим и химическим показателям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12CCB1" w14:textId="6925BB00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декабрь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1AEB98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МЗ (ДПЗ и ГСЭН)</w:t>
            </w:r>
          </w:p>
          <w:p w14:paraId="6A43722C" w14:textId="7ECCD8B8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ГП «Центральная лаборатория» Департамента геологии и недропользования МПРЭТН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7FF3F3" w14:textId="3924A81B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  привлечение донорской помощи</w:t>
            </w:r>
          </w:p>
        </w:tc>
      </w:tr>
      <w:tr w:rsidR="004D6176" w:rsidRPr="009D3900" w14:paraId="5EAACA92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63C5C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A6A99A" w14:textId="54D9ACC9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4.2.11. Обучение специалистов лабораторий международным \региональным методам исследований/испытаний в сфере реализации СФС мер и готовой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C531AB" w14:textId="0775E9D8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Специалисты лабораторий обучены методам  исследований/испытаний продукции требованиям международных/региональных стандартов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F33DA" w14:textId="3B5C512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451E04" w14:textId="1D0A7123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МСХ, ЦСМ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9D67FB" w14:textId="792E3110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  привлечение донорской помощи</w:t>
            </w:r>
          </w:p>
        </w:tc>
      </w:tr>
      <w:tr w:rsidR="004D6176" w:rsidRPr="009D3900" w14:paraId="5F158AB7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24F8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B9038E" w14:textId="1890DA1F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shd w:val="clear" w:color="auto" w:fill="FBFBFB"/>
              </w:rPr>
              <w:t>4.2.12. Обучение персонала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shd w:val="clear" w:color="auto" w:fill="FBFBFB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shd w:val="clear" w:color="auto" w:fill="FBFBFB"/>
              </w:rPr>
              <w:t>лабораторий предприятий пищевой отрасли и легкой промышленности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shd w:val="clear" w:color="auto" w:fill="FBFBFB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shd w:val="clear" w:color="auto" w:fill="FBFBFB"/>
              </w:rPr>
              <w:t xml:space="preserve">методам испытаний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для целей производственного контроля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CA20AD" w14:textId="089E3923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Персонал лабораторий прошел обучение методам испытаний. Улучшены процессы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44844" w14:textId="2B60A11C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65341E" w14:textId="001DEFB5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МСХ, 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D2D74" w14:textId="4E36943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  привлечение донорской помощи</w:t>
            </w:r>
          </w:p>
        </w:tc>
      </w:tr>
      <w:tr w:rsidR="004D6176" w:rsidRPr="009D3900" w14:paraId="162CC1D5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17A0CF" w14:textId="4D1832A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Задача 4.3. Усиление потенциала органов по сертификации продукции, калибровочных и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поверочных лабораторий.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0FB4B" w14:textId="43AF8400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4.3.1. Создание правовой основы для формирования и развития института экспертов по сертификации продукции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353AC5" w14:textId="7077A8F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Принятие постановления Кабинета Министров КР</w:t>
            </w:r>
            <w:r w:rsidRPr="009D3900">
              <w:rPr>
                <w:rFonts w:ascii="Times New Roman" w:hAnsi="Times New Roman" w:cs="Times New Roman"/>
              </w:rPr>
              <w:t xml:space="preserve"> «Требования к экспертам по сертификации (экспертам-аудиторам), порядок подтверждения их </w:t>
            </w:r>
            <w:r w:rsidRPr="009D3900">
              <w:rPr>
                <w:rFonts w:ascii="Times New Roman" w:hAnsi="Times New Roman" w:cs="Times New Roman"/>
              </w:rPr>
              <w:lastRenderedPageBreak/>
              <w:t>компетентности, формирования и ведения единого реестра экспертов по сертификации (экспертов-аудиторов)»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1C7F32" w14:textId="47F7ECF1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20 сентября 2023г.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845963" w14:textId="48D5C4E2" w:rsidR="006A5641" w:rsidRPr="009D3900" w:rsidRDefault="006A5641" w:rsidP="006A5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Госорган по продвижению экспорта,</w:t>
            </w:r>
          </w:p>
          <w:p w14:paraId="39485CBC" w14:textId="5695E84D" w:rsidR="004D6176" w:rsidRPr="009D3900" w:rsidRDefault="004D6176" w:rsidP="006A5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1A5B49" w14:textId="5D53BBC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  привлечение донорской помощи</w:t>
            </w:r>
          </w:p>
        </w:tc>
      </w:tr>
      <w:tr w:rsidR="004D6176" w:rsidRPr="009D3900" w14:paraId="4E441015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774C19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AF3AC5" w14:textId="63E0C3F4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4.3.2. Создание органа по сертификации Системы менеджмента безопасности пищевой безопасности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6DC64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Создание и подтверждения компетентности органов по сертификации в соответствии с ИСО/МЭК 17021.</w:t>
            </w:r>
          </w:p>
          <w:p w14:paraId="7F6E4951" w14:textId="5C3B841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FF99A4" w14:textId="65B5C398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 июля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B6141A" w14:textId="08387FA7" w:rsidR="004D6176" w:rsidRPr="009D3900" w:rsidRDefault="004D6176" w:rsidP="00F2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ЦСМ при МЭК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2DF606" w14:textId="1948FE83" w:rsidR="004D6176" w:rsidRPr="009D3900" w:rsidRDefault="004D6176" w:rsidP="0072513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Бюджет ЦСМ при МЭК и  привлечение донорской помощи</w:t>
            </w:r>
          </w:p>
        </w:tc>
      </w:tr>
      <w:tr w:rsidR="004D6176" w:rsidRPr="009D3900" w14:paraId="7555165B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C1288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3C6DC0" w14:textId="6DBA4CFB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4.3.3. Содействие в создании органа по сертификации сельскохозяйственного органического производства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4B4D1F" w14:textId="225CC698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Уменьшение издержек бизнеса при сертификации СМК и сельскохозяйственного органического производства в аналогичных международных органах по сертификации СМК в 2-3 раза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DA672A" w14:textId="5B0DC2F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2026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B4AC58" w14:textId="75DEAB19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МСХ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449000" w14:textId="4030C59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 привлечение донорской помощи</w:t>
            </w:r>
          </w:p>
        </w:tc>
      </w:tr>
      <w:tr w:rsidR="004D6176" w:rsidRPr="009D3900" w14:paraId="34D66862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36DAD9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1CB1E5" w14:textId="6A7F2A21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4.3.4. Внедрение калибровки оборудования:</w:t>
            </w:r>
          </w:p>
          <w:p w14:paraId="16E18B97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•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ab/>
              <w:t>иономеров (нитратомеров);</w:t>
            </w:r>
          </w:p>
          <w:p w14:paraId="65B4DAD2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поляриметров;</w:t>
            </w:r>
          </w:p>
          <w:p w14:paraId="663BA89E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кондуктометров для измерения удельной электропроводности;</w:t>
            </w:r>
          </w:p>
          <w:p w14:paraId="19C098AE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-люксметров;</w:t>
            </w:r>
          </w:p>
          <w:p w14:paraId="0CAE188A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газоанализаторов, дымомеров;</w:t>
            </w:r>
          </w:p>
          <w:p w14:paraId="607699A9" w14:textId="0DF02AFF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измерителя шума и вибрации строботахометров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F1D8B6" w14:textId="264F89CE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Внедрены калибровочные услуги в 6 новых областях,  лаборатории подтвердили техническую компетентность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3A2AC" w14:textId="3F3AD1E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86F717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ЦСМ</w:t>
            </w:r>
          </w:p>
          <w:p w14:paraId="2154712F" w14:textId="45C2003A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БЦИСМ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6E39A" w14:textId="0C26F25C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2D6CF5AC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574F17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22556" w14:textId="71DDFB6B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4.3.5. Создание государственных  (территориальные органы ЦСМ) и частных калибровочных лабораторий 2-го уровня по калибровке средств измерений, участвующих в процессе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измерения давления, температуры, массы.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DF1103" w14:textId="3BC926DB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Государственные и частные калибровочные лаборатории 2-го уровня внедрили калибровочные услуги в регионах в 3 новых областях, лаборатории подтвердили техническую компетентность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C5F7B" w14:textId="3999965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декабря 2025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7BEC9" w14:textId="40CC8CCE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ЦСМ, Ошский  ЦИСМ, Каракольский ЦИСМ, Чолпон-Атинский ЦИСМ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2EFB57" w14:textId="108FADCD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 привлечение донорской помощи</w:t>
            </w:r>
          </w:p>
        </w:tc>
      </w:tr>
      <w:tr w:rsidR="004D6176" w:rsidRPr="009D3900" w14:paraId="20A4C971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7C4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7CDBC1" w14:textId="7E66DB79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4.3.6. Поддержка аккредитации лабораторий, оказывающих услуги по поверке средств измерений в соответствии с требованиями стандарта ISO/IEC 17020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074FC8" w14:textId="2D2C7840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Подтверждение технической компетентности при оказании услуг по поверке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8C8F3D" w14:textId="542A8C8F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 июля 2024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5FD9FF" w14:textId="3940F2A4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ЦСМ и его территориальные подразделения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3AE660" w14:textId="6FD760E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7D4BADCC" w14:textId="77777777" w:rsidTr="00B21213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CEF7" w14:textId="4AFEA060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Цель. Цифровая трансформация Национальной инфраструктуры качества</w:t>
            </w:r>
          </w:p>
        </w:tc>
      </w:tr>
      <w:tr w:rsidR="004D6176" w:rsidRPr="009D3900" w14:paraId="10B7196C" w14:textId="77777777" w:rsidTr="003C1886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F3635" w14:textId="3604E34C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Задача 4.4. Цифровизация данных об обязательных требований к продукции и форм оценки соответствия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1B7318" w14:textId="06D0F633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4.4.1. Обеспечение выдачи протоколов испытаний в электронном виде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  <w:p w14:paraId="1AB36581" w14:textId="3258D7F2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4.4.2. Обеспечение выдачи ветеринарных и фитосанитарных сертификатов в электронном виде и ведение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базы электронных данных</w:t>
            </w:r>
          </w:p>
          <w:p w14:paraId="7B7A6336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D0F84F7" w14:textId="782A68C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4.4.3. Обеспечение выдачи сертификатов соответствия и деклараций о соответствии в электронном виде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FA4D6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Выдача документов в электронном виде и разработка сервиса формирования полного набора данных.</w:t>
            </w:r>
          </w:p>
          <w:p w14:paraId="0A599917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76CDF48" w14:textId="664BF09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11027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 июля 2025 г.</w:t>
            </w:r>
          </w:p>
          <w:p w14:paraId="458A93D3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AAAC0B4" w14:textId="6473304A" w:rsidR="004D6176" w:rsidRPr="009D3900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20 декабря 2026 г.</w:t>
            </w:r>
          </w:p>
          <w:p w14:paraId="3C9745A2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4847B8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182918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9F3D6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42494F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702F3C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B36CCA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6BEA80B" w14:textId="474EF5C1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июля 2026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791FAE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МСХ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  <w:p w14:paraId="3DC127A9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ГП «Единое окно» в сфере внешней торговли»</w:t>
            </w:r>
          </w:p>
          <w:p w14:paraId="3B419480" w14:textId="361B42E1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EAB88E" w14:textId="715F2B25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</w:t>
            </w:r>
          </w:p>
        </w:tc>
      </w:tr>
      <w:tr w:rsidR="004D6176" w:rsidRPr="009D3900" w14:paraId="23604714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90B484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69E5A5" w14:textId="406FFE9F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4.4.4. Интеграция национальной информационной системы в сфере фитосанитарии при прослеживаемости подкарантинной продукции, ввезенной на таможенную территорию Союза и перемещаемой по таможенной территории Союза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9BE5E6" w14:textId="24683838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Внедрение и введение в действие общих процессов подкарантинной продукции при прослеживаемости и присоединение к информационной системе ЕАЭС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CF852A" w14:textId="261158B3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20 декабря 2026 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8BAFEF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МЦР</w:t>
            </w:r>
          </w:p>
          <w:p w14:paraId="50348994" w14:textId="1EE9362C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8ECD22" w14:textId="58321514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 привлечение донорской помощи</w:t>
            </w:r>
          </w:p>
        </w:tc>
      </w:tr>
      <w:tr w:rsidR="004D6176" w:rsidRPr="009D3900" w14:paraId="413DBB9D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E9827E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3FDBD6" w14:textId="6B049A6A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4.4.5. Интеграция национальных информационных систем при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прослеживаемости животных и продукции животного происхождения посредством интегрированной информационной системы Союза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E18633" w14:textId="2CC1AB32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Внедрение и введение в действие общих процессов прослеживаемости товаров,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подлежащих ветеринарному контролю (надзору) и присоединение к информационной системе ЕАЭС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E603C2" w14:textId="6063455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 декабря 2026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EBADC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МЦР</w:t>
            </w:r>
          </w:p>
          <w:p w14:paraId="08F37992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МСХ</w:t>
            </w:r>
          </w:p>
          <w:p w14:paraId="792AE9E9" w14:textId="7F8B7C06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5C97F0" w14:textId="27314B94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выделенных бюджетных 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ассигнований и привлечение донорской помощи</w:t>
            </w:r>
          </w:p>
        </w:tc>
      </w:tr>
      <w:tr w:rsidR="004D6176" w:rsidRPr="009D3900" w14:paraId="77E54456" w14:textId="77777777" w:rsidTr="003C1886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61E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BFC583" w14:textId="0F7A89C9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4.4.6. Создание и интеграция национальной информационной системы информирования о выявлении опасной (несоответствующей) продукции в рамках ЕАЭС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90516" w14:textId="73D371E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Внедрение и введение в действие общих процессов по формированию, ведению и использованию системы информирования об опасной продукции ЕАЭС.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Обеспечение надлежащей защиты и гарантий качества, безопасности обращаемых товаров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14F64E" w14:textId="5C6D28B6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 декабря 2026 г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DC7D9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МЗ</w:t>
            </w:r>
          </w:p>
          <w:p w14:paraId="6C78A83F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МСХ</w:t>
            </w:r>
          </w:p>
          <w:p w14:paraId="5939FBF4" w14:textId="6BDB5F9C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МЦР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83B5E1" w14:textId="48598139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40F2B788" w14:textId="77777777" w:rsidTr="00E35483">
        <w:trPr>
          <w:trHeight w:val="539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7CA6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Цель: Создание условий повышения конкурентоспособности компаний</w:t>
            </w:r>
          </w:p>
        </w:tc>
      </w:tr>
      <w:tr w:rsidR="004D6176" w:rsidRPr="009D3900" w14:paraId="6B8F216F" w14:textId="77777777" w:rsidTr="00E35483">
        <w:trPr>
          <w:trHeight w:val="53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77C455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Задача 4.5. Внедрение международных стандартов на системы менеджмента и развитие инноваций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B3C83F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4.5.1. Повышение уровня знаний сельхозпроизводителей и соответствующих государственных органов о  требованиях Международного стандарта Global G.A.P.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15EAC8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Проведение обучения на регулярной основе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DCE8F4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19A81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F113BD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6733A4E7" w14:textId="77777777" w:rsidTr="00E35483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028F31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3C2BFC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4.5.2. Разработка национального руководства по толкованию (интерпретации) требований стандарта GLOBAL G.A.P.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702CA7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Национальный Интерпретационный документ по Системам комплексных поставок сельскохозяйственной продукции V5.2 (фрукты и овощи) согласно GLOBAL G.A.P.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6DCEC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25 и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юн</w:t>
            </w: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A33090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8AF707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6ADD47B3" w14:textId="77777777" w:rsidTr="00E35483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4A1832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F0DAF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4.5.3. Повышение уровня знаний сельхозпроизводителей и соответствующих государственных органов о 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ведении органического сельского хозяйства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CAC0B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Проведение обучения на регулярной основе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31080C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0E9D56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МСХ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6B227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07CDA9BE" w14:textId="77777777" w:rsidTr="00E35483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148D72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32C27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4.5.4. Повышение уровня знаний производителей, государственных органов, бизнес-структур, в сфере внедрения Халал - продукции, стандартов систем менеджмента ISO 9001, ISO 14001, ISO 22000, FSSC 22000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41908F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Проведение обучения на регулярной основе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53A73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3176A" w14:textId="0BD321FD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МСХ, МЗ, МЭК, Центр «Хала индустрии»</w:t>
            </w:r>
          </w:p>
          <w:p w14:paraId="16E611F4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МЗ</w:t>
            </w:r>
          </w:p>
          <w:p w14:paraId="134B8C52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2CEA0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  <w:tr w:rsidR="004D6176" w:rsidRPr="009D3900" w14:paraId="6AE81529" w14:textId="77777777" w:rsidTr="00E35483">
        <w:trPr>
          <w:trHeight w:val="539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9ACA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401D23" w14:textId="77777777" w:rsidR="004D6176" w:rsidRPr="009D3900" w:rsidRDefault="004D6176" w:rsidP="004D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4.5.5. Повышение потенциала местных консультантов по системам менеджмента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A94F7" w14:textId="77777777" w:rsidR="004D6176" w:rsidRPr="009D3900" w:rsidRDefault="004D6176" w:rsidP="004D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Повышен потенциал сертифицированных экспертов по системам менеджмента</w:t>
            </w: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  <w:p w14:paraId="0D21ABFD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Global GAP, ISO 22000, FSSC 22000 ISO 9001, 14001 в 2 раза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CFBDBC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D4FFA3" w14:textId="4BEEE13A" w:rsidR="004D6176" w:rsidRPr="009D3900" w:rsidRDefault="004D6176" w:rsidP="006A5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 xml:space="preserve">МСХ, ЦСМ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5FE52F" w14:textId="77777777" w:rsidR="004D6176" w:rsidRPr="009D3900" w:rsidRDefault="004D6176" w:rsidP="004D6176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</w:rPr>
            </w:pPr>
            <w:r w:rsidRPr="009D3900">
              <w:rPr>
                <w:rFonts w:ascii="Times New Roman" w:eastAsia="Times New Roman" w:hAnsi="Times New Roman" w:cs="Times New Roman"/>
                <w:color w:val="000000"/>
              </w:rPr>
              <w:t>В пределах выделенных бюджетных ассигнований и привлечение донорской помощи</w:t>
            </w:r>
          </w:p>
        </w:tc>
      </w:tr>
    </w:tbl>
    <w:p w14:paraId="721C5667" w14:textId="77777777" w:rsidR="0033302D" w:rsidRPr="009D3900" w:rsidRDefault="0033302D" w:rsidP="00421C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sectPr w:rsidR="0033302D" w:rsidRPr="009D3900" w:rsidSect="00DE2977">
      <w:footerReference w:type="default" r:id="rId8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FC381" w14:textId="77777777" w:rsidR="00817D3A" w:rsidRDefault="00817D3A" w:rsidP="00DE2977">
      <w:pPr>
        <w:spacing w:after="0" w:line="240" w:lineRule="auto"/>
      </w:pPr>
      <w:r>
        <w:separator/>
      </w:r>
    </w:p>
  </w:endnote>
  <w:endnote w:type="continuationSeparator" w:id="0">
    <w:p w14:paraId="70D500A5" w14:textId="77777777" w:rsidR="00817D3A" w:rsidRDefault="00817D3A" w:rsidP="00DE2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04941003"/>
      <w:docPartObj>
        <w:docPartGallery w:val="Page Numbers (Bottom of Page)"/>
        <w:docPartUnique/>
      </w:docPartObj>
    </w:sdtPr>
    <w:sdtEndPr/>
    <w:sdtContent>
      <w:p w14:paraId="5527101F" w14:textId="2A517AAC" w:rsidR="00DE2977" w:rsidRDefault="00DE297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4AFAFE" w14:textId="77777777" w:rsidR="00DE2977" w:rsidRDefault="00DE297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C1D7C" w14:textId="77777777" w:rsidR="00817D3A" w:rsidRDefault="00817D3A" w:rsidP="00DE2977">
      <w:pPr>
        <w:spacing w:after="0" w:line="240" w:lineRule="auto"/>
      </w:pPr>
      <w:r>
        <w:separator/>
      </w:r>
    </w:p>
  </w:footnote>
  <w:footnote w:type="continuationSeparator" w:id="0">
    <w:p w14:paraId="30DB0A9A" w14:textId="77777777" w:rsidR="00817D3A" w:rsidRDefault="00817D3A" w:rsidP="00DE2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31B4"/>
    <w:multiLevelType w:val="multilevel"/>
    <w:tmpl w:val="2AAE9A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251DE"/>
    <w:multiLevelType w:val="multilevel"/>
    <w:tmpl w:val="D9761D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560F4"/>
    <w:multiLevelType w:val="multilevel"/>
    <w:tmpl w:val="7FFC44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D328FC"/>
    <w:multiLevelType w:val="multilevel"/>
    <w:tmpl w:val="221E1E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82750D"/>
    <w:multiLevelType w:val="multilevel"/>
    <w:tmpl w:val="8CCCD5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07A1E"/>
    <w:multiLevelType w:val="multilevel"/>
    <w:tmpl w:val="66D68C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366A5C"/>
    <w:multiLevelType w:val="multilevel"/>
    <w:tmpl w:val="49E64F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3B1749"/>
    <w:multiLevelType w:val="multilevel"/>
    <w:tmpl w:val="DC3802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8B1010"/>
    <w:multiLevelType w:val="multilevel"/>
    <w:tmpl w:val="D2AA51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E457EB"/>
    <w:multiLevelType w:val="hybridMultilevel"/>
    <w:tmpl w:val="8ACC2294"/>
    <w:lvl w:ilvl="0" w:tplc="B996501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30772"/>
    <w:multiLevelType w:val="multilevel"/>
    <w:tmpl w:val="9A02DA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C328BA"/>
    <w:multiLevelType w:val="multilevel"/>
    <w:tmpl w:val="5E741A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CA53BE"/>
    <w:multiLevelType w:val="hybridMultilevel"/>
    <w:tmpl w:val="B5585F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6614832"/>
    <w:multiLevelType w:val="multilevel"/>
    <w:tmpl w:val="DE5607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E76293"/>
    <w:multiLevelType w:val="multilevel"/>
    <w:tmpl w:val="C46AB5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877340"/>
    <w:multiLevelType w:val="multilevel"/>
    <w:tmpl w:val="3A86A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AF6F0E"/>
    <w:multiLevelType w:val="multilevel"/>
    <w:tmpl w:val="634E47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81596C"/>
    <w:multiLevelType w:val="multilevel"/>
    <w:tmpl w:val="A38A6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623BC4"/>
    <w:multiLevelType w:val="multilevel"/>
    <w:tmpl w:val="0F767C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441D37"/>
    <w:multiLevelType w:val="multilevel"/>
    <w:tmpl w:val="00924A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496576"/>
    <w:multiLevelType w:val="multilevel"/>
    <w:tmpl w:val="4C9A232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A648B6"/>
    <w:multiLevelType w:val="multilevel"/>
    <w:tmpl w:val="64D227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FF2F7B"/>
    <w:multiLevelType w:val="multilevel"/>
    <w:tmpl w:val="8B4A35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DC7EBF"/>
    <w:multiLevelType w:val="hybridMultilevel"/>
    <w:tmpl w:val="6E4E12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75163D1"/>
    <w:multiLevelType w:val="multilevel"/>
    <w:tmpl w:val="08A2AB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5659B9"/>
    <w:multiLevelType w:val="multilevel"/>
    <w:tmpl w:val="B8A07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586B57"/>
    <w:multiLevelType w:val="multilevel"/>
    <w:tmpl w:val="90885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AD7A99"/>
    <w:multiLevelType w:val="multilevel"/>
    <w:tmpl w:val="242866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FE5BDD"/>
    <w:multiLevelType w:val="multilevel"/>
    <w:tmpl w:val="F1D40C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456785"/>
    <w:multiLevelType w:val="multilevel"/>
    <w:tmpl w:val="3CA4B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  <w:lvlOverride w:ilvl="0">
      <w:lvl w:ilvl="0">
        <w:numFmt w:val="decimal"/>
        <w:lvlText w:val="%1."/>
        <w:lvlJc w:val="left"/>
      </w:lvl>
    </w:lvlOverride>
  </w:num>
  <w:num w:numId="3">
    <w:abstractNumId w:val="29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14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3"/>
    <w:lvlOverride w:ilvl="0">
      <w:lvl w:ilvl="0">
        <w:numFmt w:val="decimal"/>
        <w:lvlText w:val="%1."/>
        <w:lvlJc w:val="left"/>
      </w:lvl>
    </w:lvlOverride>
  </w:num>
  <w:num w:numId="11">
    <w:abstractNumId w:val="18"/>
    <w:lvlOverride w:ilvl="0">
      <w:lvl w:ilvl="0">
        <w:numFmt w:val="decimal"/>
        <w:lvlText w:val="%1."/>
        <w:lvlJc w:val="left"/>
      </w:lvl>
    </w:lvlOverride>
  </w:num>
  <w:num w:numId="12">
    <w:abstractNumId w:val="21"/>
    <w:lvlOverride w:ilvl="0">
      <w:lvl w:ilvl="0">
        <w:numFmt w:val="decimal"/>
        <w:lvlText w:val="%1."/>
        <w:lvlJc w:val="left"/>
      </w:lvl>
    </w:lvlOverride>
  </w:num>
  <w:num w:numId="13">
    <w:abstractNumId w:val="10"/>
    <w:lvlOverride w:ilvl="0">
      <w:lvl w:ilvl="0">
        <w:numFmt w:val="decimal"/>
        <w:lvlText w:val="%1."/>
        <w:lvlJc w:val="left"/>
      </w:lvl>
    </w:lvlOverride>
  </w:num>
  <w:num w:numId="14">
    <w:abstractNumId w:val="20"/>
    <w:lvlOverride w:ilvl="0">
      <w:lvl w:ilvl="0">
        <w:numFmt w:val="decimal"/>
        <w:lvlText w:val="%1."/>
        <w:lvlJc w:val="left"/>
      </w:lvl>
    </w:lvlOverride>
  </w:num>
  <w:num w:numId="15">
    <w:abstractNumId w:val="24"/>
    <w:lvlOverride w:ilvl="0">
      <w:lvl w:ilvl="0">
        <w:numFmt w:val="decimal"/>
        <w:lvlText w:val="%1."/>
        <w:lvlJc w:val="left"/>
      </w:lvl>
    </w:lvlOverride>
  </w:num>
  <w:num w:numId="16">
    <w:abstractNumId w:val="11"/>
    <w:lvlOverride w:ilvl="0">
      <w:lvl w:ilvl="0">
        <w:numFmt w:val="decimal"/>
        <w:lvlText w:val="%1."/>
        <w:lvlJc w:val="left"/>
      </w:lvl>
    </w:lvlOverride>
  </w:num>
  <w:num w:numId="17">
    <w:abstractNumId w:val="27"/>
    <w:lvlOverride w:ilvl="0">
      <w:lvl w:ilvl="0">
        <w:numFmt w:val="decimal"/>
        <w:lvlText w:val="%1."/>
        <w:lvlJc w:val="left"/>
      </w:lvl>
    </w:lvlOverride>
  </w:num>
  <w:num w:numId="18">
    <w:abstractNumId w:val="19"/>
    <w:lvlOverride w:ilvl="0">
      <w:lvl w:ilvl="0">
        <w:numFmt w:val="decimal"/>
        <w:lvlText w:val="%1."/>
        <w:lvlJc w:val="left"/>
      </w:lvl>
    </w:lvlOverride>
  </w:num>
  <w:num w:numId="19">
    <w:abstractNumId w:val="16"/>
    <w:lvlOverride w:ilvl="0">
      <w:lvl w:ilvl="0">
        <w:numFmt w:val="decimal"/>
        <w:lvlText w:val="%1."/>
        <w:lvlJc w:val="left"/>
      </w:lvl>
    </w:lvlOverride>
  </w:num>
  <w:num w:numId="20">
    <w:abstractNumId w:val="26"/>
  </w:num>
  <w:num w:numId="21">
    <w:abstractNumId w:val="22"/>
    <w:lvlOverride w:ilvl="0">
      <w:lvl w:ilvl="0">
        <w:numFmt w:val="decimal"/>
        <w:lvlText w:val="%1."/>
        <w:lvlJc w:val="left"/>
      </w:lvl>
    </w:lvlOverride>
  </w:num>
  <w:num w:numId="22">
    <w:abstractNumId w:val="15"/>
    <w:lvlOverride w:ilvl="0">
      <w:lvl w:ilvl="0">
        <w:numFmt w:val="decimal"/>
        <w:lvlText w:val="%1."/>
        <w:lvlJc w:val="left"/>
      </w:lvl>
    </w:lvlOverride>
  </w:num>
  <w:num w:numId="23">
    <w:abstractNumId w:val="2"/>
    <w:lvlOverride w:ilvl="0">
      <w:lvl w:ilvl="0">
        <w:numFmt w:val="decimal"/>
        <w:lvlText w:val="%1."/>
        <w:lvlJc w:val="left"/>
      </w:lvl>
    </w:lvlOverride>
  </w:num>
  <w:num w:numId="24">
    <w:abstractNumId w:val="25"/>
  </w:num>
  <w:num w:numId="25">
    <w:abstractNumId w:val="3"/>
    <w:lvlOverride w:ilvl="0">
      <w:lvl w:ilvl="0">
        <w:numFmt w:val="decimal"/>
        <w:lvlText w:val="%1."/>
        <w:lvlJc w:val="left"/>
      </w:lvl>
    </w:lvlOverride>
  </w:num>
  <w:num w:numId="26">
    <w:abstractNumId w:val="7"/>
    <w:lvlOverride w:ilvl="0">
      <w:lvl w:ilvl="0">
        <w:numFmt w:val="decimal"/>
        <w:lvlText w:val="%1."/>
        <w:lvlJc w:val="left"/>
      </w:lvl>
    </w:lvlOverride>
  </w:num>
  <w:num w:numId="27">
    <w:abstractNumId w:val="28"/>
    <w:lvlOverride w:ilvl="0">
      <w:lvl w:ilvl="0">
        <w:numFmt w:val="decimal"/>
        <w:lvlText w:val="%1."/>
        <w:lvlJc w:val="left"/>
      </w:lvl>
    </w:lvlOverride>
  </w:num>
  <w:num w:numId="28">
    <w:abstractNumId w:val="17"/>
    <w:lvlOverride w:ilvl="0">
      <w:lvl w:ilvl="0">
        <w:numFmt w:val="decimal"/>
        <w:lvlText w:val="%1."/>
        <w:lvlJc w:val="left"/>
      </w:lvl>
    </w:lvlOverride>
  </w:num>
  <w:num w:numId="29">
    <w:abstractNumId w:val="2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3E"/>
    <w:rsid w:val="00050DD0"/>
    <w:rsid w:val="00072584"/>
    <w:rsid w:val="000A272D"/>
    <w:rsid w:val="000B3C2F"/>
    <w:rsid w:val="000E61A5"/>
    <w:rsid w:val="00100F65"/>
    <w:rsid w:val="0013174E"/>
    <w:rsid w:val="001A1E0C"/>
    <w:rsid w:val="001B7672"/>
    <w:rsid w:val="001D5432"/>
    <w:rsid w:val="001D7DA6"/>
    <w:rsid w:val="001F03DC"/>
    <w:rsid w:val="001F6A6C"/>
    <w:rsid w:val="002875D2"/>
    <w:rsid w:val="002A33D2"/>
    <w:rsid w:val="002B3D33"/>
    <w:rsid w:val="002C3FE9"/>
    <w:rsid w:val="003133BD"/>
    <w:rsid w:val="003250F8"/>
    <w:rsid w:val="0033302D"/>
    <w:rsid w:val="0039015A"/>
    <w:rsid w:val="003A63E3"/>
    <w:rsid w:val="003B10B6"/>
    <w:rsid w:val="003B755B"/>
    <w:rsid w:val="003C1687"/>
    <w:rsid w:val="003C1886"/>
    <w:rsid w:val="00403520"/>
    <w:rsid w:val="00421C33"/>
    <w:rsid w:val="0044538C"/>
    <w:rsid w:val="0049482D"/>
    <w:rsid w:val="004C30EB"/>
    <w:rsid w:val="004D6176"/>
    <w:rsid w:val="00505F2D"/>
    <w:rsid w:val="00552B8B"/>
    <w:rsid w:val="00554DD8"/>
    <w:rsid w:val="00577EA0"/>
    <w:rsid w:val="005843D2"/>
    <w:rsid w:val="005902B4"/>
    <w:rsid w:val="005C33FF"/>
    <w:rsid w:val="005C6C33"/>
    <w:rsid w:val="005D085A"/>
    <w:rsid w:val="00646DCF"/>
    <w:rsid w:val="00650014"/>
    <w:rsid w:val="00657F71"/>
    <w:rsid w:val="006A5641"/>
    <w:rsid w:val="007023C3"/>
    <w:rsid w:val="00702793"/>
    <w:rsid w:val="00725139"/>
    <w:rsid w:val="007859E0"/>
    <w:rsid w:val="007A4565"/>
    <w:rsid w:val="007B7533"/>
    <w:rsid w:val="007C6AB4"/>
    <w:rsid w:val="007D35C1"/>
    <w:rsid w:val="008038CC"/>
    <w:rsid w:val="00817D3A"/>
    <w:rsid w:val="00830DB0"/>
    <w:rsid w:val="00834F3C"/>
    <w:rsid w:val="00850723"/>
    <w:rsid w:val="00877E16"/>
    <w:rsid w:val="008B4BEF"/>
    <w:rsid w:val="008C0FED"/>
    <w:rsid w:val="00970D2D"/>
    <w:rsid w:val="00973A7C"/>
    <w:rsid w:val="00981614"/>
    <w:rsid w:val="009A075F"/>
    <w:rsid w:val="009D3900"/>
    <w:rsid w:val="009F3359"/>
    <w:rsid w:val="00A0746D"/>
    <w:rsid w:val="00A30B26"/>
    <w:rsid w:val="00A44D22"/>
    <w:rsid w:val="00A53B82"/>
    <w:rsid w:val="00A72535"/>
    <w:rsid w:val="00A82726"/>
    <w:rsid w:val="00A91C8C"/>
    <w:rsid w:val="00AA19B1"/>
    <w:rsid w:val="00AB6089"/>
    <w:rsid w:val="00B1667C"/>
    <w:rsid w:val="00B17EBF"/>
    <w:rsid w:val="00B21213"/>
    <w:rsid w:val="00B430BB"/>
    <w:rsid w:val="00B5053A"/>
    <w:rsid w:val="00B57692"/>
    <w:rsid w:val="00B837A1"/>
    <w:rsid w:val="00BA0C15"/>
    <w:rsid w:val="00C327A4"/>
    <w:rsid w:val="00C35321"/>
    <w:rsid w:val="00CD66B6"/>
    <w:rsid w:val="00D06CBB"/>
    <w:rsid w:val="00D16DC9"/>
    <w:rsid w:val="00D3553D"/>
    <w:rsid w:val="00D8623F"/>
    <w:rsid w:val="00D9758E"/>
    <w:rsid w:val="00DA4E3E"/>
    <w:rsid w:val="00DE2977"/>
    <w:rsid w:val="00E35483"/>
    <w:rsid w:val="00E46251"/>
    <w:rsid w:val="00EC1740"/>
    <w:rsid w:val="00EC4E61"/>
    <w:rsid w:val="00F070CF"/>
    <w:rsid w:val="00F26F82"/>
    <w:rsid w:val="00F80072"/>
    <w:rsid w:val="00FE3CB8"/>
    <w:rsid w:val="00FE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4E3FE"/>
  <w15:chartTrackingRefBased/>
  <w15:docId w15:val="{2CC52391-15CB-483B-9B5F-C5A46347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E3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E3E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aliases w:val="List Paragraph 1,strich,2nd Tier Header,маркированный,Citation List"/>
    <w:basedOn w:val="a"/>
    <w:link w:val="a6"/>
    <w:uiPriority w:val="34"/>
    <w:qFormat/>
    <w:rsid w:val="00AA19B1"/>
    <w:pPr>
      <w:ind w:left="720"/>
      <w:contextualSpacing/>
    </w:pPr>
  </w:style>
  <w:style w:type="character" w:customStyle="1" w:styleId="a6">
    <w:name w:val="Абзац списка Знак"/>
    <w:aliases w:val="List Paragraph 1 Знак,strich Знак,2nd Tier Header Знак,маркированный Знак,Citation List Знак"/>
    <w:link w:val="a5"/>
    <w:uiPriority w:val="34"/>
    <w:rsid w:val="00A44D22"/>
    <w:rPr>
      <w:rFonts w:eastAsiaTheme="minorEastAsia"/>
      <w:lang w:eastAsia="ru-RU"/>
    </w:rPr>
  </w:style>
  <w:style w:type="character" w:styleId="a7">
    <w:name w:val="annotation reference"/>
    <w:basedOn w:val="a0"/>
    <w:uiPriority w:val="99"/>
    <w:semiHidden/>
    <w:unhideWhenUsed/>
    <w:rsid w:val="00702793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E2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297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2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297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8CAF8-999C-463B-A0B7-43680758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1</Pages>
  <Words>7710</Words>
  <Characters>43949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Айпери Сейдибакасова</dc:creator>
  <cp:keywords/>
  <dc:description/>
  <cp:lastModifiedBy>Сейдибакасова Айпери</cp:lastModifiedBy>
  <cp:revision>29</cp:revision>
  <cp:lastPrinted>2023-01-26T11:31:00Z</cp:lastPrinted>
  <dcterms:created xsi:type="dcterms:W3CDTF">2022-10-31T03:36:00Z</dcterms:created>
  <dcterms:modified xsi:type="dcterms:W3CDTF">2023-01-26T11:31:00Z</dcterms:modified>
</cp:coreProperties>
</file>