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3F6C3" w14:textId="77777777" w:rsidR="00582E51" w:rsidRPr="004B58BD" w:rsidRDefault="00582E51" w:rsidP="00582E51">
      <w:pPr>
        <w:jc w:val="center"/>
        <w:rPr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4B58BD">
        <w:rPr>
          <w:b/>
          <w:bCs/>
          <w:color w:val="000000" w:themeColor="text1"/>
          <w:sz w:val="24"/>
          <w:szCs w:val="24"/>
        </w:rPr>
        <w:t>Краткая экспресс-информация по основным показателям</w:t>
      </w:r>
      <w:r w:rsidRPr="004B58BD">
        <w:rPr>
          <w:b/>
          <w:bCs/>
          <w:color w:val="000000" w:themeColor="text1"/>
          <w:sz w:val="24"/>
          <w:szCs w:val="24"/>
        </w:rPr>
        <w:br/>
        <w:t xml:space="preserve">социально-экономического развития Кыргызской Республики </w:t>
      </w:r>
    </w:p>
    <w:p w14:paraId="57EE8249" w14:textId="06637250" w:rsidR="00582E51" w:rsidRPr="004B58BD" w:rsidRDefault="00582E51" w:rsidP="00582E51">
      <w:pPr>
        <w:jc w:val="center"/>
        <w:rPr>
          <w:b/>
          <w:bCs/>
          <w:color w:val="000000" w:themeColor="text1"/>
          <w:sz w:val="24"/>
          <w:szCs w:val="24"/>
        </w:rPr>
      </w:pPr>
      <w:r w:rsidRPr="004B58BD">
        <w:rPr>
          <w:b/>
          <w:bCs/>
          <w:color w:val="000000" w:themeColor="text1"/>
          <w:sz w:val="24"/>
          <w:szCs w:val="24"/>
        </w:rPr>
        <w:t>за январь-</w:t>
      </w:r>
      <w:r w:rsidR="00071EB2" w:rsidRPr="004B58BD">
        <w:rPr>
          <w:b/>
          <w:bCs/>
          <w:color w:val="000000" w:themeColor="text1"/>
          <w:sz w:val="24"/>
          <w:szCs w:val="24"/>
        </w:rPr>
        <w:t>и</w:t>
      </w:r>
      <w:r w:rsidR="00287BA0" w:rsidRPr="004B58BD">
        <w:rPr>
          <w:b/>
          <w:bCs/>
          <w:color w:val="000000" w:themeColor="text1"/>
          <w:sz w:val="24"/>
          <w:szCs w:val="24"/>
        </w:rPr>
        <w:t>юль</w:t>
      </w:r>
      <w:r w:rsidR="00071EB2" w:rsidRPr="004B58BD">
        <w:rPr>
          <w:b/>
          <w:bCs/>
          <w:color w:val="000000" w:themeColor="text1"/>
          <w:sz w:val="24"/>
          <w:szCs w:val="24"/>
        </w:rPr>
        <w:t xml:space="preserve"> </w:t>
      </w:r>
      <w:r w:rsidRPr="004B58BD">
        <w:rPr>
          <w:b/>
          <w:bCs/>
          <w:color w:val="000000" w:themeColor="text1"/>
          <w:sz w:val="24"/>
          <w:szCs w:val="24"/>
        </w:rPr>
        <w:t>2025 года</w:t>
      </w:r>
    </w:p>
    <w:p w14:paraId="7409167D" w14:textId="77777777" w:rsidR="00582E51" w:rsidRPr="004B58BD" w:rsidRDefault="00582E51" w:rsidP="00582E51">
      <w:pPr>
        <w:jc w:val="center"/>
        <w:rPr>
          <w:i/>
          <w:iCs/>
          <w:color w:val="000000" w:themeColor="text1"/>
          <w:sz w:val="24"/>
          <w:szCs w:val="24"/>
        </w:rPr>
      </w:pPr>
      <w:r w:rsidRPr="004B58BD">
        <w:rPr>
          <w:i/>
          <w:iCs/>
          <w:color w:val="000000" w:themeColor="text1"/>
          <w:sz w:val="24"/>
          <w:szCs w:val="24"/>
        </w:rPr>
        <w:t>(на основе предварительных данных НСК КР)</w:t>
      </w:r>
    </w:p>
    <w:p w14:paraId="1BB0AFCD" w14:textId="77777777" w:rsidR="00582E51" w:rsidRPr="004B58BD" w:rsidRDefault="00582E51" w:rsidP="00582E51">
      <w:pPr>
        <w:ind w:firstLine="709"/>
        <w:jc w:val="both"/>
        <w:rPr>
          <w:color w:val="000000" w:themeColor="text1"/>
          <w:sz w:val="24"/>
          <w:szCs w:val="24"/>
        </w:rPr>
      </w:pPr>
    </w:p>
    <w:p w14:paraId="2CEC82A8" w14:textId="32C272FB" w:rsidR="004B58BD" w:rsidRDefault="00B0624E" w:rsidP="0093768D">
      <w:pPr>
        <w:ind w:firstLine="709"/>
        <w:jc w:val="both"/>
        <w:rPr>
          <w:color w:val="000000" w:themeColor="text1"/>
          <w:sz w:val="24"/>
          <w:szCs w:val="24"/>
        </w:rPr>
      </w:pPr>
      <w:r w:rsidRPr="004B58BD">
        <w:rPr>
          <w:color w:val="000000" w:themeColor="text1"/>
          <w:sz w:val="24"/>
          <w:szCs w:val="24"/>
        </w:rPr>
        <w:t xml:space="preserve">С начала 2025 года </w:t>
      </w:r>
      <w:r w:rsidR="00FB6F3E">
        <w:rPr>
          <w:color w:val="000000" w:themeColor="text1"/>
          <w:sz w:val="24"/>
          <w:szCs w:val="24"/>
        </w:rPr>
        <w:t xml:space="preserve">сохраняется </w:t>
      </w:r>
      <w:r w:rsidR="008455B4">
        <w:rPr>
          <w:color w:val="000000" w:themeColor="text1"/>
          <w:sz w:val="24"/>
          <w:szCs w:val="24"/>
        </w:rPr>
        <w:t xml:space="preserve">устойчивый </w:t>
      </w:r>
      <w:r w:rsidRPr="004B58BD">
        <w:rPr>
          <w:color w:val="000000" w:themeColor="text1"/>
          <w:sz w:val="24"/>
          <w:szCs w:val="24"/>
        </w:rPr>
        <w:t xml:space="preserve">экономический рост. </w:t>
      </w:r>
      <w:r w:rsidR="00FE72CF">
        <w:rPr>
          <w:color w:val="000000" w:themeColor="text1"/>
          <w:sz w:val="24"/>
          <w:szCs w:val="24"/>
        </w:rPr>
        <w:t>В</w:t>
      </w:r>
      <w:r w:rsidR="00CC2E37" w:rsidRPr="004B58BD">
        <w:rPr>
          <w:color w:val="000000" w:themeColor="text1"/>
          <w:sz w:val="24"/>
          <w:szCs w:val="24"/>
        </w:rPr>
        <w:t xml:space="preserve">ысокая экономическая активность </w:t>
      </w:r>
      <w:r w:rsidR="00641904">
        <w:rPr>
          <w:color w:val="000000" w:themeColor="text1"/>
          <w:sz w:val="24"/>
          <w:szCs w:val="24"/>
        </w:rPr>
        <w:t xml:space="preserve">в </w:t>
      </w:r>
      <w:r w:rsidR="00FE72CF" w:rsidRPr="004B58BD">
        <w:rPr>
          <w:color w:val="000000" w:themeColor="text1"/>
          <w:sz w:val="24"/>
          <w:szCs w:val="24"/>
        </w:rPr>
        <w:t xml:space="preserve">стране </w:t>
      </w:r>
      <w:r w:rsidR="002B1F3A">
        <w:rPr>
          <w:color w:val="000000" w:themeColor="text1"/>
          <w:sz w:val="24"/>
          <w:szCs w:val="24"/>
        </w:rPr>
        <w:t xml:space="preserve">обеспечивается </w:t>
      </w:r>
      <w:r w:rsidR="000D2DC2" w:rsidRPr="004B58BD">
        <w:rPr>
          <w:color w:val="000000" w:themeColor="text1"/>
          <w:sz w:val="24"/>
          <w:szCs w:val="24"/>
        </w:rPr>
        <w:t>рост</w:t>
      </w:r>
      <w:r w:rsidR="000D2DC2">
        <w:rPr>
          <w:color w:val="000000" w:themeColor="text1"/>
          <w:sz w:val="24"/>
          <w:szCs w:val="24"/>
        </w:rPr>
        <w:t>ом</w:t>
      </w:r>
      <w:r w:rsidR="000D2DC2" w:rsidRPr="004B58BD">
        <w:rPr>
          <w:color w:val="000000" w:themeColor="text1"/>
          <w:sz w:val="24"/>
          <w:szCs w:val="24"/>
        </w:rPr>
        <w:t xml:space="preserve"> инвестиций в основной капитал как за счет частного финансирования, так и за счет средств </w:t>
      </w:r>
      <w:r w:rsidR="000D2DC2">
        <w:rPr>
          <w:color w:val="000000" w:themeColor="text1"/>
          <w:sz w:val="24"/>
          <w:szCs w:val="24"/>
        </w:rPr>
        <w:t>бюджета</w:t>
      </w:r>
      <w:r w:rsidR="009D17DD">
        <w:rPr>
          <w:color w:val="000000" w:themeColor="text1"/>
          <w:sz w:val="24"/>
          <w:szCs w:val="24"/>
        </w:rPr>
        <w:t>, а также</w:t>
      </w:r>
      <w:r w:rsidR="000D2DC2" w:rsidRPr="004B58BD" w:rsidDel="00CC2E37">
        <w:rPr>
          <w:color w:val="000000" w:themeColor="text1"/>
          <w:sz w:val="24"/>
          <w:szCs w:val="24"/>
        </w:rPr>
        <w:t xml:space="preserve"> </w:t>
      </w:r>
      <w:r w:rsidR="00CC2E37">
        <w:rPr>
          <w:color w:val="000000" w:themeColor="text1"/>
          <w:sz w:val="24"/>
          <w:szCs w:val="24"/>
        </w:rPr>
        <w:t>п</w:t>
      </w:r>
      <w:r w:rsidRPr="004B58BD">
        <w:rPr>
          <w:color w:val="000000" w:themeColor="text1"/>
          <w:sz w:val="24"/>
          <w:szCs w:val="24"/>
        </w:rPr>
        <w:t>овышен</w:t>
      </w:r>
      <w:r w:rsidR="00CC2E37">
        <w:rPr>
          <w:color w:val="000000" w:themeColor="text1"/>
          <w:sz w:val="24"/>
          <w:szCs w:val="24"/>
        </w:rPr>
        <w:t>н</w:t>
      </w:r>
      <w:r w:rsidR="0041293C">
        <w:rPr>
          <w:color w:val="000000" w:themeColor="text1"/>
          <w:sz w:val="24"/>
          <w:szCs w:val="24"/>
        </w:rPr>
        <w:t>ым</w:t>
      </w:r>
      <w:r w:rsidRPr="004B58BD">
        <w:rPr>
          <w:color w:val="000000" w:themeColor="text1"/>
          <w:sz w:val="24"/>
          <w:szCs w:val="24"/>
        </w:rPr>
        <w:t xml:space="preserve"> внутренн</w:t>
      </w:r>
      <w:r w:rsidR="0041293C">
        <w:rPr>
          <w:color w:val="000000" w:themeColor="text1"/>
          <w:sz w:val="24"/>
          <w:szCs w:val="24"/>
        </w:rPr>
        <w:t>им</w:t>
      </w:r>
      <w:r w:rsidRPr="004B58BD">
        <w:rPr>
          <w:color w:val="000000" w:themeColor="text1"/>
          <w:sz w:val="24"/>
          <w:szCs w:val="24"/>
        </w:rPr>
        <w:t xml:space="preserve"> спрос</w:t>
      </w:r>
      <w:r w:rsidR="0041293C">
        <w:rPr>
          <w:color w:val="000000" w:themeColor="text1"/>
          <w:sz w:val="24"/>
          <w:szCs w:val="24"/>
        </w:rPr>
        <w:t>ом</w:t>
      </w:r>
      <w:r w:rsidRPr="004B58BD">
        <w:rPr>
          <w:color w:val="000000" w:themeColor="text1"/>
          <w:sz w:val="24"/>
          <w:szCs w:val="24"/>
        </w:rPr>
        <w:t xml:space="preserve"> </w:t>
      </w:r>
      <w:r w:rsidR="00537375">
        <w:rPr>
          <w:color w:val="000000" w:themeColor="text1"/>
          <w:sz w:val="24"/>
          <w:szCs w:val="24"/>
        </w:rPr>
        <w:t>за счет роста доходов населения</w:t>
      </w:r>
      <w:r w:rsidR="004B58BD" w:rsidRPr="004B58BD">
        <w:rPr>
          <w:color w:val="000000" w:themeColor="text1"/>
          <w:sz w:val="24"/>
          <w:szCs w:val="24"/>
        </w:rPr>
        <w:t xml:space="preserve">. </w:t>
      </w:r>
    </w:p>
    <w:p w14:paraId="037310A5" w14:textId="3D6CD43C" w:rsidR="00B0624E" w:rsidRPr="004B58BD" w:rsidRDefault="00B0624E" w:rsidP="00B0624E">
      <w:pPr>
        <w:ind w:firstLine="709"/>
        <w:jc w:val="both"/>
        <w:rPr>
          <w:color w:val="000000" w:themeColor="text1"/>
          <w:sz w:val="24"/>
          <w:szCs w:val="24"/>
        </w:rPr>
      </w:pPr>
      <w:r w:rsidRPr="004B58BD">
        <w:rPr>
          <w:color w:val="000000" w:themeColor="text1"/>
          <w:sz w:val="24"/>
          <w:szCs w:val="24"/>
        </w:rPr>
        <w:t>По предварительной оценке Национального статистического комитета Кыргызской Республики, за январь-</w:t>
      </w:r>
      <w:r w:rsidR="00287BA0" w:rsidRPr="004B58BD">
        <w:rPr>
          <w:color w:val="000000" w:themeColor="text1"/>
          <w:sz w:val="24"/>
          <w:szCs w:val="24"/>
        </w:rPr>
        <w:t>июл</w:t>
      </w:r>
      <w:r w:rsidR="0050274F" w:rsidRPr="004B58BD">
        <w:rPr>
          <w:color w:val="000000" w:themeColor="text1"/>
          <w:sz w:val="24"/>
          <w:szCs w:val="24"/>
        </w:rPr>
        <w:t>ь</w:t>
      </w:r>
      <w:r w:rsidRPr="004B58BD">
        <w:rPr>
          <w:color w:val="000000" w:themeColor="text1"/>
          <w:sz w:val="24"/>
          <w:szCs w:val="24"/>
        </w:rPr>
        <w:t xml:space="preserve"> </w:t>
      </w:r>
      <w:r w:rsidRPr="004B58BD">
        <w:rPr>
          <w:bCs/>
          <w:color w:val="000000" w:themeColor="text1"/>
          <w:sz w:val="24"/>
          <w:szCs w:val="24"/>
        </w:rPr>
        <w:t>2025</w:t>
      </w:r>
      <w:r w:rsidRPr="004B58BD">
        <w:rPr>
          <w:b/>
          <w:bCs/>
          <w:color w:val="000000" w:themeColor="text1"/>
          <w:sz w:val="24"/>
          <w:szCs w:val="24"/>
        </w:rPr>
        <w:t xml:space="preserve"> </w:t>
      </w:r>
      <w:r w:rsidRPr="004B58BD">
        <w:rPr>
          <w:color w:val="000000" w:themeColor="text1"/>
          <w:sz w:val="24"/>
          <w:szCs w:val="24"/>
        </w:rPr>
        <w:t xml:space="preserve">года объем валового внутреннего продукта (далее – ВВП) сложился в сумме </w:t>
      </w:r>
      <w:r w:rsidR="00E10596" w:rsidRPr="004B58BD">
        <w:rPr>
          <w:b/>
          <w:bCs/>
          <w:color w:val="000000" w:themeColor="text1"/>
          <w:sz w:val="24"/>
          <w:szCs w:val="24"/>
        </w:rPr>
        <w:t xml:space="preserve">865,2 </w:t>
      </w:r>
      <w:r w:rsidRPr="004B58BD">
        <w:rPr>
          <w:b/>
          <w:bCs/>
          <w:color w:val="000000" w:themeColor="text1"/>
          <w:sz w:val="24"/>
          <w:szCs w:val="24"/>
        </w:rPr>
        <w:t xml:space="preserve">млрд сомов </w:t>
      </w:r>
      <w:r w:rsidRPr="004B58BD">
        <w:rPr>
          <w:color w:val="000000" w:themeColor="text1"/>
          <w:sz w:val="24"/>
          <w:szCs w:val="24"/>
        </w:rPr>
        <w:t xml:space="preserve">и реальный темп роста составил </w:t>
      </w:r>
      <w:r w:rsidRPr="004B58BD">
        <w:rPr>
          <w:b/>
          <w:bCs/>
          <w:color w:val="000000" w:themeColor="text1"/>
          <w:sz w:val="24"/>
          <w:szCs w:val="24"/>
        </w:rPr>
        <w:t>11</w:t>
      </w:r>
      <w:r w:rsidR="0050274F" w:rsidRPr="004B58BD">
        <w:rPr>
          <w:b/>
          <w:bCs/>
          <w:color w:val="000000" w:themeColor="text1"/>
          <w:sz w:val="24"/>
          <w:szCs w:val="24"/>
        </w:rPr>
        <w:t>1</w:t>
      </w:r>
      <w:r w:rsidRPr="004B58BD">
        <w:rPr>
          <w:b/>
          <w:bCs/>
          <w:color w:val="000000" w:themeColor="text1"/>
          <w:sz w:val="24"/>
          <w:szCs w:val="24"/>
        </w:rPr>
        <w:t>,</w:t>
      </w:r>
      <w:r w:rsidR="00E10596" w:rsidRPr="004B58BD">
        <w:rPr>
          <w:b/>
          <w:bCs/>
          <w:color w:val="000000" w:themeColor="text1"/>
          <w:sz w:val="24"/>
          <w:szCs w:val="24"/>
        </w:rPr>
        <w:t>5</w:t>
      </w:r>
      <w:r w:rsidRPr="004B58BD">
        <w:rPr>
          <w:color w:val="000000" w:themeColor="text1"/>
          <w:sz w:val="24"/>
          <w:szCs w:val="24"/>
        </w:rPr>
        <w:t> </w:t>
      </w:r>
      <w:r w:rsidRPr="004B58BD">
        <w:rPr>
          <w:b/>
          <w:bCs/>
          <w:color w:val="000000" w:themeColor="text1"/>
          <w:sz w:val="24"/>
          <w:szCs w:val="24"/>
        </w:rPr>
        <w:t xml:space="preserve">% </w:t>
      </w:r>
      <w:r w:rsidRPr="004B58BD">
        <w:rPr>
          <w:color w:val="000000" w:themeColor="text1"/>
          <w:sz w:val="24"/>
          <w:szCs w:val="24"/>
        </w:rPr>
        <w:t>(за январь-</w:t>
      </w:r>
      <w:r w:rsidR="00287BA0" w:rsidRPr="004B58BD">
        <w:rPr>
          <w:color w:val="000000" w:themeColor="text1"/>
          <w:sz w:val="24"/>
          <w:szCs w:val="24"/>
        </w:rPr>
        <w:t>июл</w:t>
      </w:r>
      <w:r w:rsidR="0050274F" w:rsidRPr="004B58BD">
        <w:rPr>
          <w:color w:val="000000" w:themeColor="text1"/>
          <w:sz w:val="24"/>
          <w:szCs w:val="24"/>
        </w:rPr>
        <w:t>ь</w:t>
      </w:r>
      <w:r w:rsidRPr="004B58BD">
        <w:rPr>
          <w:color w:val="000000" w:themeColor="text1"/>
          <w:sz w:val="24"/>
          <w:szCs w:val="24"/>
        </w:rPr>
        <w:t xml:space="preserve"> 2024 г. – 10</w:t>
      </w:r>
      <w:r w:rsidR="0050274F" w:rsidRPr="004B58BD">
        <w:rPr>
          <w:color w:val="000000" w:themeColor="text1"/>
          <w:sz w:val="24"/>
          <w:szCs w:val="24"/>
        </w:rPr>
        <w:t>8</w:t>
      </w:r>
      <w:r w:rsidRPr="004B58BD">
        <w:rPr>
          <w:color w:val="000000" w:themeColor="text1"/>
          <w:sz w:val="24"/>
          <w:szCs w:val="24"/>
        </w:rPr>
        <w:t>,</w:t>
      </w:r>
      <w:r w:rsidR="00E10596" w:rsidRPr="004B58BD">
        <w:rPr>
          <w:color w:val="000000" w:themeColor="text1"/>
          <w:sz w:val="24"/>
          <w:szCs w:val="24"/>
        </w:rPr>
        <w:t>1</w:t>
      </w:r>
      <w:r w:rsidRPr="004B58BD">
        <w:rPr>
          <w:color w:val="000000" w:themeColor="text1"/>
          <w:sz w:val="24"/>
          <w:szCs w:val="24"/>
        </w:rPr>
        <w:t xml:space="preserve"> %). </w:t>
      </w:r>
    </w:p>
    <w:p w14:paraId="70524894" w14:textId="64C3D81F" w:rsidR="00B0624E" w:rsidRPr="004B58BD" w:rsidRDefault="00B0624E" w:rsidP="00B0624E">
      <w:pPr>
        <w:ind w:firstLine="709"/>
        <w:jc w:val="both"/>
        <w:rPr>
          <w:color w:val="000000" w:themeColor="text1"/>
          <w:sz w:val="24"/>
          <w:szCs w:val="24"/>
        </w:rPr>
      </w:pPr>
      <w:r w:rsidRPr="004B58BD">
        <w:rPr>
          <w:color w:val="000000" w:themeColor="text1"/>
          <w:sz w:val="24"/>
          <w:szCs w:val="24"/>
        </w:rPr>
        <w:t xml:space="preserve">В секторах экономики показатели сложились следующим образом: в промышленности объемы производства возросли на </w:t>
      </w:r>
      <w:r w:rsidR="007D623B" w:rsidRPr="004B58BD">
        <w:rPr>
          <w:color w:val="000000" w:themeColor="text1"/>
          <w:sz w:val="24"/>
          <w:szCs w:val="24"/>
        </w:rPr>
        <w:t>11,4</w:t>
      </w:r>
      <w:r w:rsidRPr="004B58BD">
        <w:rPr>
          <w:color w:val="000000" w:themeColor="text1"/>
          <w:sz w:val="24"/>
        </w:rPr>
        <w:t> </w:t>
      </w:r>
      <w:r w:rsidRPr="004B58BD">
        <w:rPr>
          <w:color w:val="000000" w:themeColor="text1"/>
          <w:sz w:val="24"/>
          <w:szCs w:val="24"/>
        </w:rPr>
        <w:t xml:space="preserve">%, сфере услуг – на </w:t>
      </w:r>
      <w:r w:rsidR="007D623B" w:rsidRPr="004B58BD">
        <w:rPr>
          <w:color w:val="000000" w:themeColor="text1"/>
          <w:sz w:val="24"/>
          <w:szCs w:val="24"/>
        </w:rPr>
        <w:t>9,8</w:t>
      </w:r>
      <w:r w:rsidRPr="004B58BD">
        <w:rPr>
          <w:color w:val="000000" w:themeColor="text1"/>
          <w:sz w:val="24"/>
        </w:rPr>
        <w:t> </w:t>
      </w:r>
      <w:r w:rsidRPr="004B58BD">
        <w:rPr>
          <w:color w:val="000000" w:themeColor="text1"/>
          <w:sz w:val="24"/>
          <w:szCs w:val="24"/>
        </w:rPr>
        <w:t xml:space="preserve">%, строительстве - на </w:t>
      </w:r>
      <w:r w:rsidR="007D623B" w:rsidRPr="004B58BD">
        <w:rPr>
          <w:color w:val="000000" w:themeColor="text1"/>
          <w:sz w:val="24"/>
          <w:szCs w:val="24"/>
        </w:rPr>
        <w:t>37,8</w:t>
      </w:r>
      <w:r w:rsidRPr="004B58BD">
        <w:rPr>
          <w:color w:val="000000" w:themeColor="text1"/>
          <w:sz w:val="24"/>
          <w:szCs w:val="24"/>
        </w:rPr>
        <w:t xml:space="preserve"> %, сельском хозяйстве</w:t>
      </w:r>
      <w:r w:rsidRPr="004B58BD" w:rsidDel="00763479">
        <w:rPr>
          <w:color w:val="000000" w:themeColor="text1"/>
          <w:sz w:val="24"/>
          <w:szCs w:val="24"/>
        </w:rPr>
        <w:t xml:space="preserve"> </w:t>
      </w:r>
      <w:r w:rsidRPr="004B58BD">
        <w:rPr>
          <w:color w:val="000000" w:themeColor="text1"/>
          <w:sz w:val="24"/>
          <w:szCs w:val="24"/>
        </w:rPr>
        <w:t xml:space="preserve">– на </w:t>
      </w:r>
      <w:r w:rsidR="007D623B" w:rsidRPr="004B58BD">
        <w:rPr>
          <w:color w:val="000000" w:themeColor="text1"/>
          <w:sz w:val="24"/>
          <w:szCs w:val="24"/>
        </w:rPr>
        <w:t xml:space="preserve">2,3 </w:t>
      </w:r>
      <w:r w:rsidRPr="004B58BD">
        <w:rPr>
          <w:color w:val="000000" w:themeColor="text1"/>
          <w:sz w:val="24"/>
          <w:szCs w:val="24"/>
        </w:rPr>
        <w:t xml:space="preserve">%. </w:t>
      </w:r>
    </w:p>
    <w:p w14:paraId="2C1BCD89" w14:textId="77777777" w:rsidR="00582E51" w:rsidRPr="004B58BD" w:rsidRDefault="00582E51" w:rsidP="00582E51">
      <w:pPr>
        <w:widowControl w:val="0"/>
        <w:jc w:val="center"/>
        <w:rPr>
          <w:b/>
          <w:color w:val="000000" w:themeColor="text1"/>
          <w:sz w:val="24"/>
          <w:szCs w:val="24"/>
        </w:rPr>
      </w:pPr>
    </w:p>
    <w:p w14:paraId="41A8DA9C" w14:textId="77777777" w:rsidR="00582E51" w:rsidRPr="004B58BD" w:rsidRDefault="00582E51" w:rsidP="00582E51">
      <w:pPr>
        <w:widowControl w:val="0"/>
        <w:jc w:val="center"/>
        <w:rPr>
          <w:b/>
          <w:color w:val="000000" w:themeColor="text1"/>
          <w:sz w:val="24"/>
          <w:szCs w:val="24"/>
        </w:rPr>
      </w:pPr>
      <w:r w:rsidRPr="004B58BD">
        <w:rPr>
          <w:b/>
          <w:color w:val="000000" w:themeColor="text1"/>
          <w:sz w:val="24"/>
          <w:szCs w:val="24"/>
        </w:rPr>
        <w:t>Структура и темпы роста по секторам, формирующим ВВП</w:t>
      </w:r>
      <w:r w:rsidRPr="004B58BD">
        <w:rPr>
          <w:color w:val="000000" w:themeColor="text1"/>
          <w:sz w:val="24"/>
          <w:szCs w:val="24"/>
          <w:vertAlign w:val="superscript"/>
        </w:rPr>
        <w:footnoteReference w:id="1"/>
      </w:r>
    </w:p>
    <w:p w14:paraId="05D76459" w14:textId="77777777" w:rsidR="00582E51" w:rsidRPr="004B58BD" w:rsidRDefault="00582E51" w:rsidP="00582E51">
      <w:pPr>
        <w:widowControl w:val="0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992"/>
        <w:gridCol w:w="851"/>
        <w:gridCol w:w="1296"/>
        <w:gridCol w:w="972"/>
        <w:gridCol w:w="788"/>
        <w:gridCol w:w="913"/>
      </w:tblGrid>
      <w:tr w:rsidR="00F07335" w:rsidRPr="004B58BD" w14:paraId="2245FFF2" w14:textId="77777777" w:rsidTr="00A35A29">
        <w:trPr>
          <w:trHeight w:val="32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5D5C" w14:textId="77777777" w:rsidR="00582E51" w:rsidRPr="004B58BD" w:rsidRDefault="00582E51" w:rsidP="00387B13">
            <w:pPr>
              <w:widowControl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b/>
                <w:bCs/>
                <w:color w:val="000000" w:themeColor="text1"/>
                <w:sz w:val="24"/>
                <w:szCs w:val="24"/>
                <w:lang w:val="ru-RU" w:eastAsia="en-US"/>
              </w:rPr>
              <w:t>Показатели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60A7" w14:textId="303DB054" w:rsidR="00582E51" w:rsidRPr="004B58BD" w:rsidRDefault="00582E51" w:rsidP="00387B13">
            <w:pPr>
              <w:widowControl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4B58BD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Январь-</w:t>
            </w:r>
            <w:r w:rsidR="00287BA0" w:rsidRPr="004B58BD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июл</w:t>
            </w:r>
            <w:r w:rsidR="00071EB2" w:rsidRPr="004B58BD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ь</w:t>
            </w:r>
          </w:p>
          <w:p w14:paraId="6CA38C0E" w14:textId="0393DDC2" w:rsidR="00582E51" w:rsidRPr="004B58BD" w:rsidRDefault="00582E51" w:rsidP="00387B13">
            <w:pPr>
              <w:widowControl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2024 года, предв.</w:t>
            </w:r>
            <w:r w:rsidR="00E350D3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B58BD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E76D" w14:textId="7462FFB8" w:rsidR="00582E51" w:rsidRPr="004B58BD" w:rsidRDefault="00582E51" w:rsidP="00387B13">
            <w:pPr>
              <w:widowControl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4B58BD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Январь-</w:t>
            </w:r>
            <w:r w:rsidR="00287BA0" w:rsidRPr="004B58BD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июл</w:t>
            </w:r>
            <w:r w:rsidR="00071EB2" w:rsidRPr="004B58BD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ь</w:t>
            </w:r>
          </w:p>
          <w:p w14:paraId="29FB21A2" w14:textId="3C57BCC5" w:rsidR="00582E51" w:rsidRPr="004B58BD" w:rsidRDefault="00582E51" w:rsidP="00387B13">
            <w:pPr>
              <w:widowControl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2025 года, предв.</w:t>
            </w:r>
            <w:r w:rsidR="00E350D3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B58BD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факт</w:t>
            </w:r>
          </w:p>
        </w:tc>
      </w:tr>
      <w:tr w:rsidR="00F07335" w:rsidRPr="004B58BD" w14:paraId="4E495608" w14:textId="77777777" w:rsidTr="00A35A29">
        <w:trPr>
          <w:trHeight w:val="114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B450" w14:textId="77777777" w:rsidR="00582E51" w:rsidRPr="004B58BD" w:rsidRDefault="00582E51" w:rsidP="00387B13">
            <w:pPr>
              <w:rPr>
                <w:b/>
                <w:bCs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0FC3" w14:textId="0CF19C46" w:rsidR="00387EC5" w:rsidRDefault="00582E51" w:rsidP="00387B13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B58BD">
              <w:rPr>
                <w:color w:val="000000" w:themeColor="text1"/>
                <w:sz w:val="24"/>
                <w:szCs w:val="24"/>
                <w:lang w:val="ru-RU"/>
              </w:rPr>
              <w:t>млн</w:t>
            </w:r>
          </w:p>
          <w:p w14:paraId="1BAA5341" w14:textId="6F29CE16" w:rsidR="00582E51" w:rsidRPr="004B58BD" w:rsidRDefault="00582E51" w:rsidP="00387B13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color w:val="000000" w:themeColor="text1"/>
                <w:sz w:val="24"/>
                <w:szCs w:val="24"/>
                <w:lang w:val="ru-RU"/>
              </w:rPr>
              <w:t>сомов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B78E" w14:textId="77777777" w:rsidR="00582E51" w:rsidRPr="004B58BD" w:rsidRDefault="00582E51" w:rsidP="00387B13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color w:val="000000" w:themeColor="text1"/>
                <w:sz w:val="24"/>
                <w:szCs w:val="24"/>
                <w:lang w:val="ru-RU"/>
              </w:rPr>
              <w:t>темп роста,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C5B6" w14:textId="77777777" w:rsidR="00582E51" w:rsidRPr="004B58BD" w:rsidRDefault="00582E51" w:rsidP="00387B13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color w:val="000000" w:themeColor="text1"/>
                <w:sz w:val="24"/>
                <w:szCs w:val="24"/>
                <w:lang w:val="ru-RU"/>
              </w:rPr>
              <w:t>в % к ВВП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764A" w14:textId="2C04E094" w:rsidR="00ED3CA2" w:rsidRDefault="00582E51" w:rsidP="00387B13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B58BD">
              <w:rPr>
                <w:color w:val="000000" w:themeColor="text1"/>
                <w:sz w:val="24"/>
                <w:szCs w:val="24"/>
                <w:lang w:val="ru-RU"/>
              </w:rPr>
              <w:t xml:space="preserve">млн </w:t>
            </w:r>
          </w:p>
          <w:p w14:paraId="6ECBAC29" w14:textId="4052FF7F" w:rsidR="00582E51" w:rsidRPr="004B58BD" w:rsidRDefault="00582E51" w:rsidP="00387B13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color w:val="000000" w:themeColor="text1"/>
                <w:sz w:val="24"/>
                <w:szCs w:val="24"/>
                <w:lang w:val="ru-RU"/>
              </w:rPr>
              <w:t>сомов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80F5" w14:textId="77777777" w:rsidR="00582E51" w:rsidRPr="004B58BD" w:rsidRDefault="00582E51" w:rsidP="00387B13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color w:val="000000" w:themeColor="text1"/>
                <w:sz w:val="24"/>
                <w:szCs w:val="24"/>
                <w:lang w:val="ru-RU"/>
              </w:rPr>
              <w:t>темп роста, %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E562" w14:textId="77777777" w:rsidR="00582E51" w:rsidRPr="004B58BD" w:rsidRDefault="00582E51" w:rsidP="00387B13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color w:val="000000" w:themeColor="text1"/>
                <w:sz w:val="24"/>
                <w:szCs w:val="24"/>
                <w:lang w:val="ru-RU"/>
              </w:rPr>
              <w:t>в % к ВВП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CB27" w14:textId="77777777" w:rsidR="00582E51" w:rsidRPr="004B58BD" w:rsidRDefault="00582E51" w:rsidP="00387B13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color w:val="000000" w:themeColor="text1"/>
                <w:sz w:val="24"/>
                <w:szCs w:val="24"/>
                <w:lang w:val="ru-RU"/>
              </w:rPr>
              <w:t>доля вклада в рост ВВП, п.п.</w:t>
            </w:r>
          </w:p>
        </w:tc>
      </w:tr>
      <w:tr w:rsidR="007D623B" w:rsidRPr="004B58BD" w14:paraId="1FA6E7A9" w14:textId="77777777" w:rsidTr="00A35A29">
        <w:trPr>
          <w:trHeight w:val="31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59F4" w14:textId="77777777" w:rsidR="007D623B" w:rsidRPr="004B58BD" w:rsidRDefault="007D623B" w:rsidP="007D623B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b/>
                <w:bCs/>
                <w:color w:val="000000" w:themeColor="text1"/>
                <w:sz w:val="24"/>
                <w:szCs w:val="24"/>
                <w:lang w:val="ru-RU" w:eastAsia="en-US"/>
              </w:rPr>
              <w:t>ВВП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D8CE" w14:textId="3092C3FF" w:rsidR="007D623B" w:rsidRPr="004B58BD" w:rsidRDefault="007D623B" w:rsidP="007D623B">
            <w:pPr>
              <w:widowControl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b/>
                <w:bCs/>
                <w:sz w:val="24"/>
                <w:szCs w:val="24"/>
                <w:lang w:val="ru-RU"/>
              </w:rPr>
              <w:t>714 193,5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37B8" w14:textId="0975EA1A" w:rsidR="007D623B" w:rsidRPr="004B58BD" w:rsidRDefault="007D623B" w:rsidP="007D623B">
            <w:pPr>
              <w:widowControl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b/>
                <w:bCs/>
                <w:sz w:val="24"/>
                <w:szCs w:val="24"/>
                <w:lang w:val="ru-RU"/>
              </w:rPr>
              <w:t>108,1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625E" w14:textId="0BA2A078" w:rsidR="007D623B" w:rsidRPr="004B58BD" w:rsidRDefault="007D623B" w:rsidP="007D623B">
            <w:pPr>
              <w:widowControl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b/>
                <w:bCs/>
                <w:color w:val="00000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5F6E" w14:textId="78F2D7D5" w:rsidR="007D623B" w:rsidRPr="004B58BD" w:rsidRDefault="007D623B" w:rsidP="007D623B">
            <w:pPr>
              <w:widowControl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b/>
                <w:bCs/>
                <w:sz w:val="24"/>
                <w:szCs w:val="24"/>
                <w:lang w:val="ru-RU"/>
              </w:rPr>
              <w:t>865 218,7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CA0A" w14:textId="174F0815" w:rsidR="007D623B" w:rsidRPr="004B58BD" w:rsidRDefault="007D623B" w:rsidP="007D623B">
            <w:pPr>
              <w:widowControl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b/>
                <w:bCs/>
                <w:color w:val="000000"/>
                <w:sz w:val="24"/>
                <w:szCs w:val="24"/>
                <w:lang w:val="ru-RU"/>
              </w:rPr>
              <w:t>111,5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BB9F" w14:textId="4DF5D14A" w:rsidR="007D623B" w:rsidRPr="004B58BD" w:rsidRDefault="007D623B" w:rsidP="007D623B">
            <w:pPr>
              <w:widowControl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b/>
                <w:bCs/>
                <w:color w:val="00000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A25F" w14:textId="6A6ADE8B" w:rsidR="007D623B" w:rsidRPr="004B58BD" w:rsidRDefault="007D623B" w:rsidP="007D623B">
            <w:pPr>
              <w:widowControl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b/>
                <w:bCs/>
                <w:color w:val="000000"/>
                <w:sz w:val="24"/>
                <w:szCs w:val="24"/>
                <w:lang w:val="ru-RU"/>
              </w:rPr>
              <w:t>11,5</w:t>
            </w:r>
          </w:p>
        </w:tc>
      </w:tr>
      <w:tr w:rsidR="007D623B" w:rsidRPr="004B58BD" w14:paraId="231C797A" w14:textId="77777777" w:rsidTr="00A35A29">
        <w:trPr>
          <w:trHeight w:val="26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20D5E" w14:textId="77777777" w:rsidR="007D623B" w:rsidRPr="004B58BD" w:rsidRDefault="007D623B" w:rsidP="007D623B">
            <w:pPr>
              <w:widowControl w:val="0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color w:val="000000" w:themeColor="text1"/>
                <w:sz w:val="24"/>
                <w:szCs w:val="24"/>
                <w:lang w:val="ru-RU" w:eastAsia="en-US"/>
              </w:rPr>
              <w:t>Промышленность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BA39" w14:textId="20E87275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sz w:val="24"/>
                <w:szCs w:val="24"/>
                <w:lang w:val="ru-RU"/>
              </w:rPr>
              <w:t>122 141,6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E5D7" w14:textId="107BC4EE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sz w:val="24"/>
                <w:szCs w:val="24"/>
                <w:lang w:val="ru-RU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275F" w14:textId="773E8A71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color w:val="000000"/>
                <w:sz w:val="24"/>
                <w:szCs w:val="24"/>
                <w:lang w:val="ru-RU"/>
              </w:rPr>
              <w:t>17,1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3F2E" w14:textId="355202CB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sz w:val="24"/>
                <w:szCs w:val="24"/>
                <w:lang w:val="ru-RU"/>
              </w:rPr>
              <w:t>159 674,1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8F1E" w14:textId="2641F566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color w:val="000000"/>
                <w:sz w:val="24"/>
                <w:szCs w:val="24"/>
                <w:lang w:val="ru-RU"/>
              </w:rPr>
              <w:t>111,4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4FB6" w14:textId="4B7000C1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color w:val="000000"/>
                <w:sz w:val="24"/>
                <w:szCs w:val="24"/>
                <w:lang w:val="ru-RU"/>
              </w:rPr>
              <w:t>18,5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BC7B" w14:textId="22D9B685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color w:val="000000"/>
                <w:sz w:val="24"/>
                <w:szCs w:val="24"/>
                <w:lang w:val="ru-RU"/>
              </w:rPr>
              <w:t>1,95</w:t>
            </w:r>
          </w:p>
        </w:tc>
      </w:tr>
      <w:tr w:rsidR="007D623B" w:rsidRPr="004B58BD" w14:paraId="1EF75577" w14:textId="77777777" w:rsidTr="00A35A29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CF90B" w14:textId="77777777" w:rsidR="007D623B" w:rsidRPr="004B58BD" w:rsidRDefault="007D623B" w:rsidP="007D623B">
            <w:pPr>
              <w:widowControl w:val="0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color w:val="000000" w:themeColor="text1"/>
                <w:sz w:val="24"/>
                <w:szCs w:val="24"/>
                <w:lang w:val="ru-RU" w:eastAsia="en-US"/>
              </w:rPr>
              <w:t>Сельское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C58E" w14:textId="153BCDF5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sz w:val="24"/>
                <w:szCs w:val="24"/>
                <w:lang w:val="ru-RU"/>
              </w:rPr>
              <w:t>52 707,0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B904" w14:textId="3258E7FA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sz w:val="24"/>
                <w:szCs w:val="24"/>
                <w:lang w:val="ru-RU"/>
              </w:rPr>
              <w:t>106,3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C5F6" w14:textId="17C82F99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color w:val="000000"/>
                <w:sz w:val="24"/>
                <w:szCs w:val="24"/>
                <w:lang w:val="ru-RU"/>
              </w:rPr>
              <w:t>7,4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63B5" w14:textId="75D6C8E3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sz w:val="24"/>
                <w:szCs w:val="24"/>
                <w:lang w:val="ru-RU"/>
              </w:rPr>
              <w:t>59 670,0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DB77" w14:textId="4BE5912B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color w:val="000000"/>
                <w:sz w:val="24"/>
                <w:szCs w:val="24"/>
                <w:lang w:val="ru-RU"/>
              </w:rPr>
              <w:t>102,3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2D5C" w14:textId="40FEFD41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color w:val="000000"/>
                <w:sz w:val="24"/>
                <w:szCs w:val="24"/>
                <w:lang w:val="ru-RU"/>
              </w:rPr>
              <w:t>6,9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070D" w14:textId="11469044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color w:val="000000"/>
                <w:sz w:val="24"/>
                <w:szCs w:val="24"/>
                <w:lang w:val="ru-RU"/>
              </w:rPr>
              <w:t>0,17</w:t>
            </w:r>
          </w:p>
        </w:tc>
      </w:tr>
      <w:tr w:rsidR="007D623B" w:rsidRPr="004B58BD" w14:paraId="42A598D3" w14:textId="77777777" w:rsidTr="00A35A29">
        <w:trPr>
          <w:trHeight w:val="2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849C" w14:textId="77777777" w:rsidR="007D623B" w:rsidRPr="004B58BD" w:rsidRDefault="007D623B" w:rsidP="007D623B">
            <w:pPr>
              <w:widowControl w:val="0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color w:val="000000" w:themeColor="text1"/>
                <w:sz w:val="24"/>
                <w:szCs w:val="24"/>
                <w:lang w:val="ru-RU" w:eastAsia="en-US"/>
              </w:rPr>
              <w:t>Строительство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07FF" w14:textId="5B193886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sz w:val="24"/>
                <w:szCs w:val="24"/>
                <w:lang w:val="ru-RU"/>
              </w:rPr>
              <w:t>42 592,8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ABBC" w14:textId="719A52E1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sz w:val="24"/>
                <w:szCs w:val="24"/>
                <w:lang w:val="ru-RU"/>
              </w:rPr>
              <w:t>138,7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2CED" w14:textId="486A78A6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color w:val="000000"/>
                <w:sz w:val="24"/>
                <w:szCs w:val="24"/>
                <w:lang w:val="ru-RU"/>
              </w:rPr>
              <w:t>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73F0" w14:textId="37A35C56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sz w:val="24"/>
                <w:szCs w:val="24"/>
                <w:lang w:val="ru-RU"/>
              </w:rPr>
              <w:t>63 943,8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9121" w14:textId="111A1587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color w:val="000000"/>
                <w:sz w:val="24"/>
                <w:szCs w:val="24"/>
                <w:lang w:val="ru-RU"/>
              </w:rPr>
              <w:t>137,8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A21D" w14:textId="30B89E0E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color w:val="000000"/>
                <w:sz w:val="24"/>
                <w:szCs w:val="24"/>
                <w:lang w:val="ru-RU"/>
              </w:rPr>
              <w:t>7,4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0795" w14:textId="359459E6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color w:val="000000"/>
                <w:sz w:val="24"/>
                <w:szCs w:val="24"/>
                <w:lang w:val="ru-RU"/>
              </w:rPr>
              <w:t>2,25</w:t>
            </w:r>
          </w:p>
        </w:tc>
      </w:tr>
      <w:tr w:rsidR="007D623B" w:rsidRPr="004B58BD" w14:paraId="6F7B8E05" w14:textId="77777777" w:rsidTr="00A35A29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4AB3F" w14:textId="77777777" w:rsidR="007D623B" w:rsidRPr="004B58BD" w:rsidRDefault="007D623B" w:rsidP="007D623B">
            <w:pPr>
              <w:widowControl w:val="0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color w:val="000000" w:themeColor="text1"/>
                <w:sz w:val="24"/>
                <w:szCs w:val="24"/>
                <w:lang w:val="ru-RU" w:eastAsia="en-US"/>
              </w:rPr>
              <w:t>Сфера услуг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6C80" w14:textId="1749AC17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sz w:val="24"/>
                <w:szCs w:val="24"/>
                <w:lang w:val="ru-RU"/>
              </w:rPr>
              <w:t>374 421,9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3175" w14:textId="005BB88A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sz w:val="24"/>
                <w:szCs w:val="24"/>
                <w:lang w:val="ru-RU"/>
              </w:rPr>
              <w:t>107,5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2FDD" w14:textId="59C332DD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color w:val="000000"/>
                <w:sz w:val="24"/>
                <w:szCs w:val="24"/>
                <w:lang w:val="ru-RU"/>
              </w:rPr>
              <w:t>52,4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33BD" w14:textId="308332FC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sz w:val="24"/>
                <w:szCs w:val="24"/>
                <w:lang w:val="ru-RU"/>
              </w:rPr>
              <w:t>442 303,5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9647" w14:textId="3447C896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color w:val="000000"/>
                <w:sz w:val="24"/>
                <w:szCs w:val="24"/>
                <w:lang w:val="ru-RU"/>
              </w:rPr>
              <w:t>109,8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F99B" w14:textId="40E6F091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color w:val="000000"/>
                <w:sz w:val="24"/>
                <w:szCs w:val="24"/>
                <w:lang w:val="ru-RU"/>
              </w:rPr>
              <w:t>51,1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AB05" w14:textId="76A7CEDA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color w:val="000000"/>
                <w:sz w:val="24"/>
                <w:szCs w:val="24"/>
                <w:lang w:val="ru-RU"/>
              </w:rPr>
              <w:t>5,15</w:t>
            </w:r>
          </w:p>
        </w:tc>
      </w:tr>
      <w:tr w:rsidR="007D623B" w:rsidRPr="004B58BD" w14:paraId="7AFE3146" w14:textId="77777777" w:rsidTr="00A35A29">
        <w:trPr>
          <w:trHeight w:val="3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4049" w14:textId="77777777" w:rsidR="007D623B" w:rsidRPr="004B58BD" w:rsidRDefault="007D623B" w:rsidP="007D623B">
            <w:pPr>
              <w:widowControl w:val="0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color w:val="000000" w:themeColor="text1"/>
                <w:sz w:val="24"/>
                <w:szCs w:val="24"/>
                <w:lang w:val="ru-RU" w:eastAsia="en-US"/>
              </w:rPr>
              <w:t>Чистые налоги на продукты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3512" w14:textId="1EB77BC8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sz w:val="24"/>
                <w:szCs w:val="24"/>
                <w:lang w:val="ru-RU"/>
              </w:rPr>
              <w:t>122 330,2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B373" w14:textId="0014616E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sz w:val="24"/>
                <w:szCs w:val="24"/>
                <w:lang w:val="ru-RU"/>
              </w:rPr>
              <w:t>110,1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40A8" w14:textId="28EA6E29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color w:val="000000"/>
                <w:sz w:val="24"/>
                <w:szCs w:val="24"/>
                <w:lang w:val="ru-RU"/>
              </w:rPr>
              <w:t>17,1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4CDE" w14:textId="4490F363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sz w:val="24"/>
                <w:szCs w:val="24"/>
                <w:lang w:val="ru-RU"/>
              </w:rPr>
              <w:t>139 627,3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A056" w14:textId="07D5F1F0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color w:val="000000"/>
                <w:sz w:val="24"/>
                <w:szCs w:val="24"/>
                <w:lang w:val="ru-RU"/>
              </w:rPr>
              <w:t>111,4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EC37" w14:textId="35AF36EA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color w:val="000000"/>
                <w:sz w:val="24"/>
                <w:szCs w:val="24"/>
                <w:lang w:val="ru-RU"/>
              </w:rPr>
              <w:t>16,1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E62E" w14:textId="1DDA87BA" w:rsidR="007D623B" w:rsidRPr="004B58BD" w:rsidRDefault="007D623B" w:rsidP="007D623B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4B58BD">
              <w:rPr>
                <w:color w:val="000000"/>
                <w:sz w:val="24"/>
                <w:szCs w:val="24"/>
                <w:lang w:val="ru-RU"/>
              </w:rPr>
              <w:t>1,95</w:t>
            </w:r>
          </w:p>
        </w:tc>
      </w:tr>
    </w:tbl>
    <w:p w14:paraId="04B53DF9" w14:textId="77777777" w:rsidR="00582E51" w:rsidRPr="004B58BD" w:rsidRDefault="00582E51" w:rsidP="00582E51">
      <w:pPr>
        <w:ind w:firstLine="708"/>
        <w:jc w:val="both"/>
        <w:rPr>
          <w:color w:val="000000" w:themeColor="text1"/>
          <w:sz w:val="24"/>
          <w:szCs w:val="24"/>
        </w:rPr>
      </w:pPr>
    </w:p>
    <w:p w14:paraId="38173088" w14:textId="6900B865" w:rsidR="00582E51" w:rsidRPr="004B58BD" w:rsidRDefault="00582E51" w:rsidP="00582E51">
      <w:pPr>
        <w:ind w:firstLine="708"/>
        <w:jc w:val="both"/>
        <w:rPr>
          <w:color w:val="000000" w:themeColor="text1"/>
          <w:sz w:val="24"/>
          <w:szCs w:val="24"/>
        </w:rPr>
      </w:pPr>
      <w:r w:rsidRPr="004B58BD">
        <w:rPr>
          <w:color w:val="000000" w:themeColor="text1"/>
          <w:sz w:val="24"/>
          <w:szCs w:val="24"/>
        </w:rPr>
        <w:t xml:space="preserve">Вследствие складывающихся тенденций в экономике в структуре номинального ВВП доля отраслей, производящих товары, составила </w:t>
      </w:r>
      <w:r w:rsidR="00AF7B90" w:rsidRPr="004B58BD">
        <w:rPr>
          <w:color w:val="000000" w:themeColor="text1"/>
          <w:sz w:val="24"/>
          <w:szCs w:val="24"/>
        </w:rPr>
        <w:t>3</w:t>
      </w:r>
      <w:r w:rsidR="00E10596" w:rsidRPr="004B58BD">
        <w:rPr>
          <w:color w:val="000000" w:themeColor="text1"/>
          <w:sz w:val="24"/>
          <w:szCs w:val="24"/>
        </w:rPr>
        <w:t>2,8</w:t>
      </w:r>
      <w:r w:rsidRPr="004B58BD">
        <w:rPr>
          <w:color w:val="000000" w:themeColor="text1"/>
          <w:sz w:val="24"/>
        </w:rPr>
        <w:t> </w:t>
      </w:r>
      <w:r w:rsidRPr="004B58BD">
        <w:rPr>
          <w:color w:val="000000" w:themeColor="text1"/>
          <w:sz w:val="24"/>
          <w:szCs w:val="24"/>
        </w:rPr>
        <w:t>%, а доля отраслей, оказывающих услуги – 5</w:t>
      </w:r>
      <w:r w:rsidR="00E10596" w:rsidRPr="004B58BD">
        <w:rPr>
          <w:color w:val="000000" w:themeColor="text1"/>
          <w:sz w:val="24"/>
          <w:szCs w:val="24"/>
        </w:rPr>
        <w:t>1,1</w:t>
      </w:r>
      <w:r w:rsidR="00AF7B90" w:rsidRPr="004B58BD">
        <w:rPr>
          <w:color w:val="000000" w:themeColor="text1"/>
          <w:sz w:val="24"/>
          <w:szCs w:val="24"/>
        </w:rPr>
        <w:t xml:space="preserve"> </w:t>
      </w:r>
      <w:r w:rsidRPr="004B58BD">
        <w:rPr>
          <w:color w:val="000000" w:themeColor="text1"/>
          <w:sz w:val="24"/>
        </w:rPr>
        <w:t>%</w:t>
      </w:r>
      <w:r w:rsidRPr="004B58BD">
        <w:rPr>
          <w:color w:val="000000" w:themeColor="text1"/>
          <w:sz w:val="24"/>
          <w:szCs w:val="24"/>
        </w:rPr>
        <w:t>.</w:t>
      </w:r>
    </w:p>
    <w:p w14:paraId="207032BE" w14:textId="52285B9E" w:rsidR="00605B80" w:rsidRDefault="004D4A8D" w:rsidP="00605B80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B58BD">
        <w:rPr>
          <w:rFonts w:eastAsia="Calibri"/>
          <w:b/>
          <w:color w:val="000000" w:themeColor="text1"/>
          <w:sz w:val="24"/>
          <w:szCs w:val="24"/>
          <w:lang w:eastAsia="en-US"/>
        </w:rPr>
        <w:t>Промышленность.</w:t>
      </w:r>
      <w:r w:rsidRPr="004B58BD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</w:t>
      </w:r>
      <w:r w:rsidRPr="004B58BD">
        <w:rPr>
          <w:rFonts w:eastAsia="Calibri"/>
          <w:color w:val="000000" w:themeColor="text1"/>
          <w:sz w:val="24"/>
          <w:szCs w:val="24"/>
          <w:lang w:eastAsia="en-US"/>
        </w:rPr>
        <w:t>За январь-</w:t>
      </w:r>
      <w:r w:rsidR="00287BA0" w:rsidRPr="004B58BD">
        <w:rPr>
          <w:rFonts w:eastAsia="Calibri"/>
          <w:color w:val="000000" w:themeColor="text1"/>
          <w:sz w:val="24"/>
          <w:szCs w:val="24"/>
          <w:lang w:eastAsia="en-US"/>
        </w:rPr>
        <w:t>июл</w:t>
      </w:r>
      <w:r w:rsidR="0050274F" w:rsidRPr="004B58BD">
        <w:rPr>
          <w:rFonts w:eastAsia="Calibri"/>
          <w:color w:val="000000" w:themeColor="text1"/>
          <w:sz w:val="24"/>
          <w:szCs w:val="24"/>
          <w:lang w:eastAsia="en-US"/>
        </w:rPr>
        <w:t>ь</w:t>
      </w:r>
      <w:r w:rsidRPr="004B58BD">
        <w:rPr>
          <w:rFonts w:eastAsia="Calibri"/>
          <w:color w:val="000000" w:themeColor="text1"/>
          <w:sz w:val="24"/>
          <w:szCs w:val="24"/>
          <w:lang w:eastAsia="en-US"/>
        </w:rPr>
        <w:t xml:space="preserve"> 2025 года промышленными предприятиями произведено валовой продукции на сумму </w:t>
      </w:r>
      <w:r w:rsidR="0050274F" w:rsidRPr="004B58BD">
        <w:rPr>
          <w:rFonts w:eastAsia="Calibri"/>
          <w:color w:val="000000" w:themeColor="text1"/>
          <w:sz w:val="24"/>
          <w:szCs w:val="24"/>
          <w:lang w:eastAsia="en-US"/>
        </w:rPr>
        <w:t>3</w:t>
      </w:r>
      <w:r w:rsidR="00E10596" w:rsidRPr="004B58BD">
        <w:rPr>
          <w:rFonts w:eastAsia="Calibri"/>
          <w:color w:val="000000" w:themeColor="text1"/>
          <w:sz w:val="24"/>
          <w:szCs w:val="24"/>
          <w:lang w:eastAsia="en-US"/>
        </w:rPr>
        <w:t>74,6</w:t>
      </w:r>
      <w:r w:rsidRPr="004B58BD">
        <w:rPr>
          <w:rFonts w:eastAsia="Calibri"/>
          <w:color w:val="000000" w:themeColor="text1"/>
          <w:sz w:val="24"/>
          <w:szCs w:val="24"/>
          <w:lang w:eastAsia="en-US"/>
        </w:rPr>
        <w:t xml:space="preserve"> млрд сомов. Объем производства по сравнению с </w:t>
      </w:r>
      <w:r w:rsidR="00D246F3" w:rsidRPr="004B58BD">
        <w:rPr>
          <w:rFonts w:eastAsia="Calibri"/>
          <w:color w:val="000000" w:themeColor="text1"/>
          <w:sz w:val="24"/>
          <w:szCs w:val="24"/>
          <w:lang w:eastAsia="en-US"/>
        </w:rPr>
        <w:t>соответствующим периодом</w:t>
      </w:r>
      <w:r w:rsidRPr="004B58BD">
        <w:rPr>
          <w:rFonts w:eastAsia="Calibri"/>
          <w:color w:val="000000" w:themeColor="text1"/>
          <w:sz w:val="24"/>
          <w:szCs w:val="24"/>
          <w:lang w:eastAsia="en-US"/>
        </w:rPr>
        <w:t xml:space="preserve"> 2024 года увеличился </w:t>
      </w:r>
      <w:r w:rsidRPr="004B58BD">
        <w:rPr>
          <w:b/>
          <w:bCs/>
          <w:color w:val="000000" w:themeColor="text1"/>
          <w:sz w:val="24"/>
          <w:szCs w:val="24"/>
        </w:rPr>
        <w:t xml:space="preserve">на </w:t>
      </w:r>
      <w:r w:rsidR="0050274F" w:rsidRPr="004B58BD">
        <w:rPr>
          <w:b/>
          <w:bCs/>
          <w:color w:val="000000" w:themeColor="text1"/>
          <w:sz w:val="24"/>
          <w:szCs w:val="24"/>
        </w:rPr>
        <w:t>1</w:t>
      </w:r>
      <w:r w:rsidR="00E10596" w:rsidRPr="004B58BD">
        <w:rPr>
          <w:b/>
          <w:bCs/>
          <w:color w:val="000000" w:themeColor="text1"/>
          <w:sz w:val="24"/>
          <w:szCs w:val="24"/>
        </w:rPr>
        <w:t>1,3</w:t>
      </w:r>
      <w:r w:rsidRPr="004B58BD">
        <w:rPr>
          <w:b/>
          <w:bCs/>
          <w:color w:val="000000" w:themeColor="text1"/>
          <w:sz w:val="24"/>
          <w:szCs w:val="24"/>
        </w:rPr>
        <w:t xml:space="preserve"> %</w:t>
      </w:r>
      <w:r w:rsidRPr="004B58BD">
        <w:rPr>
          <w:color w:val="000000" w:themeColor="text1"/>
          <w:sz w:val="24"/>
          <w:szCs w:val="24"/>
        </w:rPr>
        <w:t xml:space="preserve"> (в январе-</w:t>
      </w:r>
      <w:r w:rsidR="00287BA0" w:rsidRPr="004B58BD">
        <w:rPr>
          <w:color w:val="000000" w:themeColor="text1"/>
          <w:sz w:val="24"/>
          <w:szCs w:val="24"/>
        </w:rPr>
        <w:t>июл</w:t>
      </w:r>
      <w:r w:rsidR="0050274F" w:rsidRPr="004B58BD">
        <w:rPr>
          <w:color w:val="000000" w:themeColor="text1"/>
          <w:sz w:val="24"/>
          <w:szCs w:val="24"/>
        </w:rPr>
        <w:t>е</w:t>
      </w:r>
      <w:r w:rsidRPr="004B58BD">
        <w:rPr>
          <w:color w:val="000000" w:themeColor="text1"/>
          <w:sz w:val="24"/>
          <w:szCs w:val="24"/>
        </w:rPr>
        <w:t xml:space="preserve"> 2024 года - рост на </w:t>
      </w:r>
      <w:r w:rsidR="00E10596" w:rsidRPr="004B58BD">
        <w:rPr>
          <w:color w:val="000000" w:themeColor="text1"/>
          <w:sz w:val="24"/>
          <w:szCs w:val="24"/>
        </w:rPr>
        <w:t>0,8</w:t>
      </w:r>
      <w:r w:rsidRPr="004B58BD">
        <w:rPr>
          <w:color w:val="000000" w:themeColor="text1"/>
          <w:sz w:val="24"/>
        </w:rPr>
        <w:t> </w:t>
      </w:r>
      <w:r w:rsidRPr="004B58BD">
        <w:rPr>
          <w:color w:val="000000" w:themeColor="text1"/>
          <w:sz w:val="24"/>
          <w:szCs w:val="24"/>
        </w:rPr>
        <w:t>%).</w:t>
      </w:r>
      <w:r w:rsidRPr="004B58BD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605B80" w:rsidRPr="009759D4">
        <w:rPr>
          <w:rFonts w:eastAsia="Calibri"/>
          <w:color w:val="000000" w:themeColor="text1"/>
          <w:sz w:val="24"/>
          <w:szCs w:val="24"/>
          <w:lang w:eastAsia="en-US"/>
        </w:rPr>
        <w:t>Без предприятий по разработке месторождени</w:t>
      </w:r>
      <w:r w:rsidR="00605B80">
        <w:rPr>
          <w:rFonts w:eastAsia="Calibri"/>
          <w:color w:val="000000" w:themeColor="text1"/>
          <w:sz w:val="24"/>
          <w:szCs w:val="24"/>
          <w:lang w:eastAsia="en-US"/>
        </w:rPr>
        <w:t>й золота,</w:t>
      </w:r>
      <w:r w:rsidR="00605B80" w:rsidRPr="009759D4">
        <w:rPr>
          <w:rFonts w:eastAsia="Calibri"/>
          <w:color w:val="000000" w:themeColor="text1"/>
          <w:sz w:val="24"/>
          <w:szCs w:val="24"/>
          <w:lang w:eastAsia="en-US"/>
        </w:rPr>
        <w:t xml:space="preserve"> объем </w:t>
      </w:r>
      <w:r w:rsidR="00605B80">
        <w:rPr>
          <w:rFonts w:eastAsia="Calibri"/>
          <w:color w:val="000000" w:themeColor="text1"/>
          <w:sz w:val="24"/>
          <w:szCs w:val="24"/>
          <w:lang w:eastAsia="en-US"/>
        </w:rPr>
        <w:t xml:space="preserve">промышленного </w:t>
      </w:r>
      <w:r w:rsidR="00605B80" w:rsidRPr="009759D4">
        <w:rPr>
          <w:rFonts w:eastAsia="Calibri"/>
          <w:color w:val="000000" w:themeColor="text1"/>
          <w:sz w:val="24"/>
          <w:szCs w:val="24"/>
          <w:lang w:eastAsia="en-US"/>
        </w:rPr>
        <w:t xml:space="preserve">производства </w:t>
      </w:r>
      <w:r w:rsidR="00605B80">
        <w:rPr>
          <w:rFonts w:eastAsia="Calibri"/>
          <w:color w:val="000000" w:themeColor="text1"/>
          <w:sz w:val="24"/>
          <w:szCs w:val="24"/>
          <w:lang w:eastAsia="en-US"/>
        </w:rPr>
        <w:t>увеличился</w:t>
      </w:r>
      <w:r w:rsidR="00605B80" w:rsidRPr="009759D4">
        <w:rPr>
          <w:rFonts w:eastAsia="Calibri"/>
          <w:color w:val="000000" w:themeColor="text1"/>
          <w:sz w:val="24"/>
          <w:szCs w:val="24"/>
          <w:lang w:eastAsia="en-US"/>
        </w:rPr>
        <w:t xml:space="preserve"> на </w:t>
      </w:r>
      <w:r w:rsidR="00605B80">
        <w:rPr>
          <w:rFonts w:eastAsia="Calibri"/>
          <w:color w:val="000000" w:themeColor="text1"/>
          <w:sz w:val="24"/>
          <w:szCs w:val="24"/>
          <w:lang w:eastAsia="en-US"/>
        </w:rPr>
        <w:t>21,7</w:t>
      </w:r>
      <w:r w:rsidR="00605B80" w:rsidRPr="009759D4">
        <w:rPr>
          <w:rFonts w:eastAsia="Calibri"/>
          <w:color w:val="000000" w:themeColor="text1"/>
          <w:sz w:val="24"/>
          <w:szCs w:val="24"/>
          <w:lang w:eastAsia="en-US"/>
        </w:rPr>
        <w:t xml:space="preserve"> %.</w:t>
      </w:r>
    </w:p>
    <w:p w14:paraId="0B576484" w14:textId="77777777" w:rsidR="00605B80" w:rsidRPr="003D4A24" w:rsidRDefault="00605B80" w:rsidP="00605B80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Положительный в</w:t>
      </w:r>
      <w:r w:rsidRPr="00100DAE">
        <w:rPr>
          <w:rFonts w:eastAsia="Calibri"/>
          <w:color w:val="000000" w:themeColor="text1"/>
          <w:sz w:val="24"/>
          <w:szCs w:val="24"/>
          <w:lang w:eastAsia="en-US"/>
        </w:rPr>
        <w:t>клад в формирование ВВП со стороны промышленного производства составил 1,</w:t>
      </w:r>
      <w:r>
        <w:rPr>
          <w:rFonts w:eastAsia="Calibri"/>
          <w:color w:val="000000" w:themeColor="text1"/>
          <w:sz w:val="24"/>
          <w:szCs w:val="24"/>
          <w:lang w:eastAsia="en-US"/>
        </w:rPr>
        <w:t>95</w:t>
      </w:r>
      <w:r w:rsidRPr="00100DAE">
        <w:rPr>
          <w:rFonts w:eastAsia="Calibri"/>
          <w:color w:val="000000" w:themeColor="text1"/>
          <w:sz w:val="24"/>
          <w:szCs w:val="24"/>
          <w:lang w:eastAsia="en-US"/>
        </w:rPr>
        <w:t xml:space="preserve"> процентных пункта. Удельный вес промышленности в структуре производства ВВП составил 18,</w:t>
      </w:r>
      <w:r>
        <w:rPr>
          <w:rFonts w:eastAsia="Calibri"/>
          <w:color w:val="000000" w:themeColor="text1"/>
          <w:sz w:val="24"/>
          <w:szCs w:val="24"/>
          <w:lang w:eastAsia="en-US"/>
        </w:rPr>
        <w:t>5</w:t>
      </w:r>
      <w:r w:rsidRPr="00100DAE">
        <w:rPr>
          <w:rFonts w:eastAsia="Calibri"/>
          <w:color w:val="000000" w:themeColor="text1"/>
          <w:sz w:val="24"/>
          <w:szCs w:val="24"/>
          <w:lang w:eastAsia="en-US"/>
        </w:rPr>
        <w:t xml:space="preserve"> %.</w:t>
      </w:r>
    </w:p>
    <w:p w14:paraId="32B7C5FD" w14:textId="77777777" w:rsidR="00605B80" w:rsidRPr="00001528" w:rsidRDefault="00605B80" w:rsidP="00605B80">
      <w:pPr>
        <w:numPr>
          <w:ilvl w:val="0"/>
          <w:numId w:val="3"/>
        </w:numPr>
        <w:tabs>
          <w:tab w:val="left" w:pos="0"/>
        </w:tabs>
        <w:ind w:left="0" w:firstLine="709"/>
        <w:contextualSpacing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65673D">
        <w:rPr>
          <w:rFonts w:eastAsia="Calibri"/>
          <w:color w:val="000000"/>
          <w:sz w:val="24"/>
          <w:szCs w:val="28"/>
          <w:u w:val="single"/>
        </w:rPr>
        <w:t>В обрабатывающем производстве</w:t>
      </w:r>
      <w:r w:rsidRPr="0065673D">
        <w:rPr>
          <w:rFonts w:eastAsia="Calibri"/>
          <w:color w:val="000000"/>
          <w:sz w:val="24"/>
          <w:szCs w:val="28"/>
        </w:rPr>
        <w:t>, с самым высоким удельным весом в общем объеме промышленного производства (</w:t>
      </w:r>
      <w:r>
        <w:rPr>
          <w:rFonts w:eastAsia="Calibri"/>
          <w:color w:val="000000"/>
          <w:sz w:val="24"/>
          <w:szCs w:val="28"/>
        </w:rPr>
        <w:t>76,9</w:t>
      </w:r>
      <w:r w:rsidRPr="0065673D">
        <w:rPr>
          <w:rFonts w:eastAsia="Calibri"/>
          <w:color w:val="000000"/>
          <w:sz w:val="24"/>
          <w:szCs w:val="28"/>
        </w:rPr>
        <w:t xml:space="preserve"> %), объем </w:t>
      </w:r>
      <w:r>
        <w:rPr>
          <w:rFonts w:eastAsia="Calibri"/>
          <w:color w:val="000000"/>
          <w:sz w:val="24"/>
          <w:szCs w:val="28"/>
        </w:rPr>
        <w:t xml:space="preserve">валовой </w:t>
      </w:r>
      <w:r w:rsidRPr="0065673D">
        <w:rPr>
          <w:rFonts w:eastAsia="Calibri"/>
          <w:color w:val="000000"/>
          <w:sz w:val="24"/>
          <w:szCs w:val="28"/>
        </w:rPr>
        <w:t>продукции за январь-июль 202</w:t>
      </w:r>
      <w:r>
        <w:rPr>
          <w:rFonts w:eastAsia="Calibri"/>
          <w:color w:val="000000"/>
          <w:sz w:val="24"/>
          <w:szCs w:val="28"/>
        </w:rPr>
        <w:t>5</w:t>
      </w:r>
      <w:r w:rsidRPr="0065673D">
        <w:rPr>
          <w:rFonts w:eastAsia="Calibri"/>
          <w:color w:val="000000"/>
          <w:sz w:val="24"/>
          <w:szCs w:val="28"/>
        </w:rPr>
        <w:t xml:space="preserve"> года сложился в сумме </w:t>
      </w:r>
      <w:r>
        <w:rPr>
          <w:rFonts w:eastAsia="Calibri"/>
          <w:color w:val="000000"/>
          <w:sz w:val="24"/>
          <w:szCs w:val="28"/>
        </w:rPr>
        <w:t>288,1</w:t>
      </w:r>
      <w:r w:rsidRPr="0065673D">
        <w:rPr>
          <w:rFonts w:eastAsia="Calibri"/>
          <w:color w:val="000000"/>
          <w:sz w:val="24"/>
          <w:szCs w:val="28"/>
        </w:rPr>
        <w:t xml:space="preserve"> млрд сомов и индекс физического объема составил </w:t>
      </w:r>
      <w:r>
        <w:rPr>
          <w:rFonts w:eastAsia="Calibri"/>
          <w:color w:val="000000"/>
          <w:sz w:val="24"/>
          <w:szCs w:val="28"/>
        </w:rPr>
        <w:t>111,0</w:t>
      </w:r>
      <w:r w:rsidRPr="0065673D">
        <w:rPr>
          <w:rFonts w:eastAsia="Calibri"/>
          <w:color w:val="000000"/>
          <w:sz w:val="24"/>
          <w:szCs w:val="28"/>
        </w:rPr>
        <w:t xml:space="preserve"> %</w:t>
      </w:r>
      <w:r>
        <w:rPr>
          <w:rFonts w:eastAsia="Calibri"/>
          <w:color w:val="000000"/>
          <w:sz w:val="24"/>
          <w:szCs w:val="28"/>
        </w:rPr>
        <w:t>. Рост</w:t>
      </w:r>
      <w:r w:rsidRPr="0065673D">
        <w:rPr>
          <w:rFonts w:eastAsia="Calibri"/>
          <w:color w:val="000000"/>
          <w:sz w:val="24"/>
          <w:szCs w:val="28"/>
        </w:rPr>
        <w:t xml:space="preserve"> обусловлен </w:t>
      </w:r>
      <w:r>
        <w:rPr>
          <w:rFonts w:eastAsia="Calibri"/>
          <w:color w:val="000000"/>
          <w:sz w:val="24"/>
          <w:szCs w:val="28"/>
        </w:rPr>
        <w:t xml:space="preserve">увеличением </w:t>
      </w:r>
      <w:r w:rsidRPr="006E0FF9">
        <w:rPr>
          <w:rFonts w:eastAsia="Calibri"/>
          <w:bCs/>
          <w:color w:val="000000"/>
          <w:sz w:val="24"/>
          <w:szCs w:val="24"/>
          <w:lang w:eastAsia="en-US"/>
        </w:rPr>
        <w:t>объемов производства пищевых продуктов (включая напитки) и табачных изделий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E0FF9">
        <w:rPr>
          <w:rFonts w:eastAsia="Calibri"/>
          <w:bCs/>
          <w:color w:val="000000"/>
          <w:sz w:val="24"/>
          <w:szCs w:val="24"/>
          <w:lang w:eastAsia="en-US"/>
        </w:rPr>
        <w:t xml:space="preserve">на 49,0 </w:t>
      </w:r>
      <w:r>
        <w:rPr>
          <w:rFonts w:eastAsia="Calibri"/>
          <w:bCs/>
          <w:color w:val="000000"/>
          <w:sz w:val="24"/>
          <w:szCs w:val="24"/>
          <w:lang w:eastAsia="en-US"/>
        </w:rPr>
        <w:t>%</w:t>
      </w:r>
      <w:r w:rsidRPr="006E0FF9">
        <w:rPr>
          <w:rFonts w:eastAsia="Calibri"/>
          <w:bCs/>
          <w:color w:val="000000"/>
          <w:sz w:val="24"/>
          <w:szCs w:val="24"/>
          <w:lang w:eastAsia="en-US"/>
        </w:rPr>
        <w:t xml:space="preserve">, </w:t>
      </w:r>
      <w:r w:rsidRPr="0051008C">
        <w:rPr>
          <w:rFonts w:eastAsia="Calibri"/>
          <w:bCs/>
          <w:color w:val="000000"/>
          <w:sz w:val="24"/>
          <w:szCs w:val="24"/>
          <w:lang w:eastAsia="en-US"/>
        </w:rPr>
        <w:t>текстильно</w:t>
      </w:r>
      <w:r>
        <w:rPr>
          <w:rFonts w:eastAsia="Calibri"/>
          <w:bCs/>
          <w:color w:val="000000"/>
          <w:sz w:val="24"/>
          <w:szCs w:val="24"/>
          <w:lang w:eastAsia="en-US"/>
        </w:rPr>
        <w:t>го</w:t>
      </w:r>
      <w:r w:rsidRPr="0051008C">
        <w:rPr>
          <w:rFonts w:eastAsia="Calibri"/>
          <w:bCs/>
          <w:color w:val="000000"/>
          <w:sz w:val="24"/>
          <w:szCs w:val="24"/>
          <w:lang w:eastAsia="en-US"/>
        </w:rPr>
        <w:t xml:space="preserve"> производств</w:t>
      </w:r>
      <w:r>
        <w:rPr>
          <w:rFonts w:eastAsia="Calibri"/>
          <w:bCs/>
          <w:color w:val="000000"/>
          <w:sz w:val="24"/>
          <w:szCs w:val="24"/>
          <w:lang w:eastAsia="en-US"/>
        </w:rPr>
        <w:t>а</w:t>
      </w:r>
      <w:r w:rsidRPr="0051008C">
        <w:rPr>
          <w:rFonts w:eastAsia="Calibri"/>
          <w:bCs/>
          <w:color w:val="000000"/>
          <w:sz w:val="24"/>
          <w:szCs w:val="24"/>
          <w:lang w:eastAsia="en-US"/>
        </w:rPr>
        <w:t xml:space="preserve">; </w:t>
      </w:r>
      <w:r w:rsidRPr="0051008C">
        <w:rPr>
          <w:rFonts w:eastAsia="Calibri"/>
          <w:bCs/>
          <w:color w:val="000000"/>
          <w:sz w:val="24"/>
          <w:szCs w:val="24"/>
          <w:lang w:eastAsia="en-US"/>
        </w:rPr>
        <w:lastRenderedPageBreak/>
        <w:t>производств</w:t>
      </w:r>
      <w:r>
        <w:rPr>
          <w:rFonts w:eastAsia="Calibri"/>
          <w:bCs/>
          <w:color w:val="000000"/>
          <w:sz w:val="24"/>
          <w:szCs w:val="24"/>
          <w:lang w:eastAsia="en-US"/>
        </w:rPr>
        <w:t>а</w:t>
      </w:r>
      <w:r w:rsidRPr="0051008C">
        <w:rPr>
          <w:rFonts w:eastAsia="Calibri"/>
          <w:bCs/>
          <w:color w:val="000000"/>
          <w:sz w:val="24"/>
          <w:szCs w:val="24"/>
          <w:lang w:eastAsia="en-US"/>
        </w:rPr>
        <w:t xml:space="preserve"> одежды и обуви, кожи и прочих кожаных изделий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– на 4 %, </w:t>
      </w:r>
      <w:r w:rsidRPr="006E0FF9">
        <w:rPr>
          <w:rFonts w:eastAsia="Calibri"/>
          <w:bCs/>
          <w:color w:val="000000"/>
          <w:sz w:val="24"/>
          <w:szCs w:val="24"/>
          <w:lang w:eastAsia="en-US"/>
        </w:rPr>
        <w:t xml:space="preserve">деревянных и бумажных изделий, продукции полиграфической деятельности 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- </w:t>
      </w:r>
      <w:r w:rsidRPr="006E0FF9">
        <w:rPr>
          <w:rFonts w:eastAsia="Calibri"/>
          <w:bCs/>
          <w:color w:val="000000"/>
          <w:sz w:val="24"/>
          <w:szCs w:val="24"/>
          <w:lang w:eastAsia="en-US"/>
        </w:rPr>
        <w:t xml:space="preserve">на 30,6 </w:t>
      </w:r>
      <w:r>
        <w:rPr>
          <w:rFonts w:eastAsia="Calibri"/>
          <w:bCs/>
          <w:color w:val="000000"/>
          <w:sz w:val="24"/>
          <w:szCs w:val="24"/>
          <w:lang w:eastAsia="en-US"/>
        </w:rPr>
        <w:t>%</w:t>
      </w:r>
      <w:r w:rsidRPr="006E0FF9">
        <w:rPr>
          <w:rFonts w:eastAsia="Calibri"/>
          <w:bCs/>
          <w:color w:val="000000"/>
          <w:sz w:val="24"/>
          <w:szCs w:val="24"/>
          <w:lang w:eastAsia="en-US"/>
        </w:rPr>
        <w:t>,</w:t>
      </w:r>
      <w:r w:rsidRPr="001840E2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E0FF9">
        <w:rPr>
          <w:rFonts w:eastAsia="Calibri"/>
          <w:bCs/>
          <w:color w:val="000000"/>
          <w:sz w:val="24"/>
          <w:szCs w:val="24"/>
          <w:lang w:eastAsia="en-US"/>
        </w:rPr>
        <w:t xml:space="preserve">очищенных нефтепродуктов 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- </w:t>
      </w:r>
      <w:r w:rsidRPr="006E0FF9">
        <w:rPr>
          <w:rFonts w:eastAsia="Calibri"/>
          <w:bCs/>
          <w:color w:val="000000"/>
          <w:sz w:val="24"/>
          <w:szCs w:val="24"/>
          <w:lang w:eastAsia="en-US"/>
        </w:rPr>
        <w:t xml:space="preserve">на 5,8 </w:t>
      </w:r>
      <w:r>
        <w:rPr>
          <w:rFonts w:eastAsia="Calibri"/>
          <w:bCs/>
          <w:color w:val="000000"/>
          <w:sz w:val="24"/>
          <w:szCs w:val="24"/>
          <w:lang w:eastAsia="en-US"/>
        </w:rPr>
        <w:t>%</w:t>
      </w:r>
      <w:r w:rsidRPr="006E0FF9">
        <w:rPr>
          <w:rFonts w:eastAsia="Calibri"/>
          <w:bCs/>
          <w:color w:val="000000"/>
          <w:sz w:val="24"/>
          <w:szCs w:val="24"/>
          <w:lang w:eastAsia="en-US"/>
        </w:rPr>
        <w:t>,</w:t>
      </w:r>
      <w:r w:rsidRPr="006E266D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E0FF9">
        <w:rPr>
          <w:rFonts w:eastAsia="Calibri"/>
          <w:bCs/>
          <w:color w:val="000000"/>
          <w:sz w:val="24"/>
          <w:szCs w:val="24"/>
          <w:lang w:eastAsia="en-US"/>
        </w:rPr>
        <w:t xml:space="preserve">химической продукции 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- </w:t>
      </w:r>
      <w:r w:rsidRPr="006E0FF9">
        <w:rPr>
          <w:rFonts w:eastAsia="Calibri"/>
          <w:bCs/>
          <w:color w:val="000000"/>
          <w:sz w:val="24"/>
          <w:szCs w:val="24"/>
          <w:lang w:eastAsia="en-US"/>
        </w:rPr>
        <w:t xml:space="preserve">на 29,3 </w:t>
      </w:r>
      <w:r>
        <w:rPr>
          <w:rFonts w:eastAsia="Calibri"/>
          <w:bCs/>
          <w:color w:val="000000"/>
          <w:sz w:val="24"/>
          <w:szCs w:val="24"/>
          <w:lang w:eastAsia="en-US"/>
        </w:rPr>
        <w:t>%</w:t>
      </w:r>
      <w:r w:rsidRPr="006E0FF9">
        <w:rPr>
          <w:rFonts w:eastAsia="Calibri"/>
          <w:bCs/>
          <w:color w:val="000000"/>
          <w:sz w:val="24"/>
          <w:szCs w:val="24"/>
          <w:lang w:eastAsia="en-US"/>
        </w:rPr>
        <w:t>,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E0FF9">
        <w:rPr>
          <w:rFonts w:eastAsia="Calibri"/>
          <w:bCs/>
          <w:color w:val="000000"/>
          <w:sz w:val="24"/>
          <w:szCs w:val="24"/>
          <w:lang w:eastAsia="en-US"/>
        </w:rPr>
        <w:t xml:space="preserve">фармацевтической продукции 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- </w:t>
      </w:r>
      <w:r w:rsidRPr="006E0FF9">
        <w:rPr>
          <w:rFonts w:eastAsia="Calibri"/>
          <w:bCs/>
          <w:color w:val="000000"/>
          <w:sz w:val="24"/>
          <w:szCs w:val="24"/>
          <w:lang w:eastAsia="en-US"/>
        </w:rPr>
        <w:t xml:space="preserve">в 2,4 раза, </w:t>
      </w:r>
      <w:r w:rsidRPr="00001528">
        <w:rPr>
          <w:rFonts w:eastAsia="Calibri"/>
          <w:bCs/>
          <w:color w:val="000000"/>
          <w:sz w:val="24"/>
          <w:szCs w:val="24"/>
          <w:lang w:eastAsia="en-US"/>
        </w:rPr>
        <w:t xml:space="preserve">резиновых, пластмассовых изделий и строительных материалов 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- </w:t>
      </w:r>
      <w:r w:rsidRPr="00001528">
        <w:rPr>
          <w:rFonts w:eastAsia="Calibri"/>
          <w:bCs/>
          <w:color w:val="000000"/>
          <w:sz w:val="24"/>
          <w:szCs w:val="24"/>
          <w:lang w:eastAsia="en-US"/>
        </w:rPr>
        <w:t xml:space="preserve">на 33,5 </w:t>
      </w:r>
      <w:r>
        <w:rPr>
          <w:rFonts w:eastAsia="Calibri"/>
          <w:bCs/>
          <w:color w:val="000000"/>
          <w:sz w:val="24"/>
          <w:szCs w:val="24"/>
          <w:lang w:eastAsia="en-US"/>
        </w:rPr>
        <w:t>%</w:t>
      </w:r>
      <w:r w:rsidRPr="00001528">
        <w:rPr>
          <w:rFonts w:eastAsia="Calibri"/>
          <w:bCs/>
          <w:color w:val="000000"/>
          <w:sz w:val="24"/>
          <w:szCs w:val="24"/>
          <w:lang w:eastAsia="en-US"/>
        </w:rPr>
        <w:t>.</w:t>
      </w:r>
    </w:p>
    <w:p w14:paraId="52F60695" w14:textId="337AD546" w:rsidR="003778CF" w:rsidRPr="004B58BD" w:rsidRDefault="003778CF" w:rsidP="003778CF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B58BD">
        <w:rPr>
          <w:rFonts w:eastAsia="Calibri"/>
          <w:color w:val="000000" w:themeColor="text1"/>
          <w:sz w:val="24"/>
          <w:szCs w:val="24"/>
          <w:lang w:eastAsia="en-US"/>
        </w:rPr>
        <w:t>Вместе с тем, отмечалось снижение объемов производства основных металлов на 1,4 %.</w:t>
      </w:r>
    </w:p>
    <w:p w14:paraId="3A3E8F80" w14:textId="30557756" w:rsidR="00605B80" w:rsidRPr="00623D10" w:rsidRDefault="00605B80" w:rsidP="00605B80">
      <w:pPr>
        <w:tabs>
          <w:tab w:val="left" w:pos="993"/>
        </w:tabs>
        <w:ind w:firstLine="709"/>
        <w:jc w:val="both"/>
        <w:rPr>
          <w:rFonts w:eastAsia="Calibri"/>
          <w:color w:val="000000"/>
          <w:sz w:val="24"/>
          <w:szCs w:val="28"/>
          <w:lang w:eastAsia="en-US"/>
        </w:rPr>
      </w:pPr>
      <w:r w:rsidRPr="0065673D">
        <w:rPr>
          <w:rFonts w:eastAsia="Calibri"/>
          <w:color w:val="000000"/>
          <w:sz w:val="24"/>
          <w:szCs w:val="28"/>
          <w:u w:val="single"/>
          <w:lang w:eastAsia="en-US"/>
        </w:rPr>
        <w:t>(2) В добыче полезных ископаемых</w:t>
      </w:r>
      <w:r w:rsidRPr="0065673D">
        <w:rPr>
          <w:rFonts w:eastAsia="Calibri"/>
          <w:color w:val="000000"/>
          <w:sz w:val="24"/>
          <w:szCs w:val="28"/>
          <w:lang w:eastAsia="en-US"/>
        </w:rPr>
        <w:t xml:space="preserve"> (удельный вес в общем объеме промышленного производства </w:t>
      </w:r>
      <w:r>
        <w:rPr>
          <w:rFonts w:eastAsia="Calibri"/>
          <w:color w:val="000000"/>
          <w:sz w:val="24"/>
          <w:szCs w:val="28"/>
          <w:lang w:eastAsia="en-US"/>
        </w:rPr>
        <w:t>9,7</w:t>
      </w:r>
      <w:r w:rsidRPr="0065673D">
        <w:rPr>
          <w:rFonts w:eastAsia="Calibri"/>
          <w:color w:val="000000"/>
          <w:sz w:val="24"/>
          <w:szCs w:val="28"/>
          <w:lang w:eastAsia="en-US"/>
        </w:rPr>
        <w:t xml:space="preserve"> %) объем производства продукции по итогам за январь-июль 202</w:t>
      </w:r>
      <w:r>
        <w:rPr>
          <w:rFonts w:eastAsia="Calibri"/>
          <w:color w:val="000000"/>
          <w:sz w:val="24"/>
          <w:szCs w:val="28"/>
          <w:lang w:eastAsia="en-US"/>
        </w:rPr>
        <w:t>5</w:t>
      </w:r>
      <w:r w:rsidRPr="0065673D">
        <w:rPr>
          <w:rFonts w:eastAsia="Calibri"/>
          <w:color w:val="000000"/>
          <w:sz w:val="24"/>
          <w:szCs w:val="28"/>
          <w:lang w:eastAsia="en-US"/>
        </w:rPr>
        <w:t xml:space="preserve"> года сложился в сумме </w:t>
      </w:r>
      <w:r>
        <w:rPr>
          <w:rFonts w:eastAsia="Calibri"/>
          <w:color w:val="000000"/>
          <w:sz w:val="24"/>
          <w:szCs w:val="28"/>
          <w:lang w:eastAsia="en-US"/>
        </w:rPr>
        <w:t>36,4</w:t>
      </w:r>
      <w:r w:rsidRPr="0065673D">
        <w:rPr>
          <w:rFonts w:eastAsia="Calibri"/>
          <w:color w:val="000000"/>
          <w:sz w:val="24"/>
          <w:szCs w:val="28"/>
          <w:lang w:eastAsia="en-US"/>
        </w:rPr>
        <w:t xml:space="preserve"> млрд сомов, а индекс физического объема составил 1</w:t>
      </w:r>
      <w:r>
        <w:rPr>
          <w:rFonts w:eastAsia="Calibri"/>
          <w:color w:val="000000"/>
          <w:sz w:val="24"/>
          <w:szCs w:val="28"/>
          <w:lang w:eastAsia="en-US"/>
        </w:rPr>
        <w:t>14,6</w:t>
      </w:r>
      <w:r w:rsidRPr="0065673D">
        <w:rPr>
          <w:rFonts w:eastAsia="Calibri"/>
          <w:color w:val="000000"/>
          <w:sz w:val="24"/>
          <w:szCs w:val="28"/>
          <w:lang w:eastAsia="en-US"/>
        </w:rPr>
        <w:t xml:space="preserve"> %. </w:t>
      </w:r>
      <w:r w:rsidRPr="00623D10">
        <w:rPr>
          <w:rFonts w:eastAsia="Calibri"/>
          <w:color w:val="000000"/>
          <w:sz w:val="24"/>
          <w:szCs w:val="28"/>
          <w:lang w:eastAsia="en-US"/>
        </w:rPr>
        <w:t>Увеличение объемов производства обусловлено ростом добычи:</w:t>
      </w:r>
    </w:p>
    <w:p w14:paraId="0D1405AF" w14:textId="77777777" w:rsidR="00605B80" w:rsidRPr="00623D10" w:rsidRDefault="00605B80" w:rsidP="00605B80">
      <w:pPr>
        <w:tabs>
          <w:tab w:val="left" w:pos="993"/>
        </w:tabs>
        <w:ind w:firstLine="709"/>
        <w:jc w:val="both"/>
        <w:rPr>
          <w:rFonts w:eastAsia="Calibri"/>
          <w:color w:val="000000"/>
          <w:sz w:val="24"/>
          <w:szCs w:val="28"/>
          <w:lang w:eastAsia="en-US"/>
        </w:rPr>
      </w:pPr>
      <w:r w:rsidRPr="00623D10">
        <w:rPr>
          <w:rFonts w:eastAsia="Calibri"/>
          <w:color w:val="000000"/>
          <w:sz w:val="24"/>
          <w:szCs w:val="28"/>
          <w:lang w:eastAsia="en-US"/>
        </w:rPr>
        <w:t>- каменного и бурого угля (лигнита) на 1</w:t>
      </w:r>
      <w:r>
        <w:rPr>
          <w:rFonts w:eastAsia="Calibri"/>
          <w:color w:val="000000"/>
          <w:sz w:val="24"/>
          <w:szCs w:val="28"/>
          <w:lang w:eastAsia="en-US"/>
        </w:rPr>
        <w:t>5,2</w:t>
      </w:r>
      <w:r w:rsidRPr="00623D10">
        <w:rPr>
          <w:rFonts w:eastAsia="Calibri"/>
          <w:color w:val="000000"/>
          <w:sz w:val="24"/>
          <w:szCs w:val="28"/>
          <w:lang w:eastAsia="en-US"/>
        </w:rPr>
        <w:t xml:space="preserve"> %. В целом по республике добыча угля составила </w:t>
      </w:r>
      <w:r>
        <w:rPr>
          <w:rFonts w:eastAsia="Calibri"/>
          <w:color w:val="000000"/>
          <w:sz w:val="24"/>
          <w:szCs w:val="28"/>
          <w:lang w:eastAsia="en-US"/>
        </w:rPr>
        <w:t>1968,7</w:t>
      </w:r>
      <w:r w:rsidRPr="00623D10">
        <w:rPr>
          <w:rFonts w:eastAsia="Calibri"/>
          <w:color w:val="000000"/>
          <w:sz w:val="24"/>
          <w:szCs w:val="28"/>
          <w:lang w:eastAsia="en-US"/>
        </w:rPr>
        <w:t xml:space="preserve"> тыс. т и по сравнению с </w:t>
      </w:r>
      <w:r>
        <w:rPr>
          <w:rFonts w:eastAsia="Calibri"/>
          <w:color w:val="000000"/>
          <w:sz w:val="24"/>
          <w:szCs w:val="28"/>
          <w:lang w:eastAsia="en-US"/>
        </w:rPr>
        <w:t xml:space="preserve">соответствующим периодом </w:t>
      </w:r>
      <w:r w:rsidRPr="00623D10">
        <w:rPr>
          <w:rFonts w:eastAsia="Calibri"/>
          <w:color w:val="000000"/>
          <w:sz w:val="24"/>
          <w:szCs w:val="28"/>
          <w:lang w:eastAsia="en-US"/>
        </w:rPr>
        <w:t>202</w:t>
      </w:r>
      <w:r>
        <w:rPr>
          <w:rFonts w:eastAsia="Calibri"/>
          <w:color w:val="000000"/>
          <w:sz w:val="24"/>
          <w:szCs w:val="28"/>
          <w:lang w:eastAsia="en-US"/>
        </w:rPr>
        <w:t>4</w:t>
      </w:r>
      <w:r w:rsidRPr="00623D10">
        <w:rPr>
          <w:rFonts w:eastAsia="Calibri"/>
          <w:color w:val="000000"/>
          <w:sz w:val="24"/>
          <w:szCs w:val="28"/>
          <w:lang w:eastAsia="en-US"/>
        </w:rPr>
        <w:t xml:space="preserve"> год</w:t>
      </w:r>
      <w:r>
        <w:rPr>
          <w:rFonts w:eastAsia="Calibri"/>
          <w:color w:val="000000"/>
          <w:sz w:val="24"/>
          <w:szCs w:val="28"/>
          <w:lang w:eastAsia="en-US"/>
        </w:rPr>
        <w:t>а</w:t>
      </w:r>
      <w:r w:rsidRPr="00623D10">
        <w:rPr>
          <w:rFonts w:eastAsia="Calibri"/>
          <w:color w:val="000000"/>
          <w:sz w:val="24"/>
          <w:szCs w:val="28"/>
          <w:lang w:eastAsia="en-US"/>
        </w:rPr>
        <w:t xml:space="preserve"> увеличился на </w:t>
      </w:r>
      <w:r>
        <w:rPr>
          <w:rFonts w:eastAsia="Calibri"/>
          <w:color w:val="000000"/>
          <w:sz w:val="24"/>
          <w:szCs w:val="28"/>
          <w:lang w:eastAsia="en-US"/>
        </w:rPr>
        <w:t>259,7</w:t>
      </w:r>
      <w:r w:rsidRPr="00623D10">
        <w:rPr>
          <w:rFonts w:eastAsia="Calibri"/>
          <w:color w:val="000000"/>
          <w:sz w:val="24"/>
          <w:szCs w:val="28"/>
          <w:lang w:eastAsia="en-US"/>
        </w:rPr>
        <w:t xml:space="preserve"> тыс. т</w:t>
      </w:r>
      <w:r>
        <w:rPr>
          <w:rFonts w:eastAsia="Calibri"/>
          <w:color w:val="000000"/>
          <w:sz w:val="24"/>
          <w:szCs w:val="28"/>
          <w:lang w:eastAsia="en-US"/>
        </w:rPr>
        <w:t>;</w:t>
      </w:r>
    </w:p>
    <w:p w14:paraId="542AB86E" w14:textId="77777777" w:rsidR="00605B80" w:rsidRDefault="00605B80" w:rsidP="00605B80">
      <w:pPr>
        <w:tabs>
          <w:tab w:val="left" w:pos="993"/>
        </w:tabs>
        <w:ind w:firstLine="709"/>
        <w:jc w:val="both"/>
        <w:rPr>
          <w:rFonts w:eastAsia="Calibri"/>
          <w:color w:val="000000"/>
          <w:sz w:val="24"/>
          <w:szCs w:val="28"/>
          <w:lang w:eastAsia="en-US"/>
        </w:rPr>
      </w:pPr>
      <w:r w:rsidRPr="00623D10">
        <w:rPr>
          <w:rFonts w:eastAsia="Calibri"/>
          <w:color w:val="000000"/>
          <w:sz w:val="24"/>
          <w:szCs w:val="28"/>
          <w:lang w:eastAsia="en-US"/>
        </w:rPr>
        <w:t xml:space="preserve">- металлических руд </w:t>
      </w:r>
      <w:r>
        <w:rPr>
          <w:rFonts w:eastAsia="Calibri"/>
          <w:color w:val="000000"/>
          <w:sz w:val="24"/>
          <w:szCs w:val="28"/>
          <w:lang w:eastAsia="en-US"/>
        </w:rPr>
        <w:t xml:space="preserve">на 22,3 % </w:t>
      </w:r>
      <w:r w:rsidRPr="00623D10">
        <w:rPr>
          <w:rFonts w:eastAsia="Calibri"/>
          <w:color w:val="000000"/>
          <w:sz w:val="24"/>
          <w:szCs w:val="28"/>
          <w:lang w:eastAsia="en-US"/>
        </w:rPr>
        <w:t xml:space="preserve">(концентраты золотосодержащие), доля которого составляет более </w:t>
      </w:r>
      <w:r>
        <w:rPr>
          <w:rFonts w:eastAsia="Calibri"/>
          <w:color w:val="000000"/>
          <w:sz w:val="24"/>
          <w:szCs w:val="28"/>
          <w:lang w:eastAsia="en-US"/>
        </w:rPr>
        <w:t>7</w:t>
      </w:r>
      <w:r w:rsidRPr="00623D10">
        <w:rPr>
          <w:rFonts w:eastAsia="Calibri"/>
          <w:color w:val="000000"/>
          <w:sz w:val="24"/>
          <w:szCs w:val="28"/>
          <w:lang w:eastAsia="en-US"/>
        </w:rPr>
        <w:t xml:space="preserve">0 % в общем объеме производства в данной отрасли; </w:t>
      </w:r>
    </w:p>
    <w:p w14:paraId="05F23419" w14:textId="77777777" w:rsidR="00605B80" w:rsidRPr="0065673D" w:rsidRDefault="00605B80" w:rsidP="00605B80">
      <w:pPr>
        <w:tabs>
          <w:tab w:val="left" w:pos="993"/>
        </w:tabs>
        <w:ind w:firstLine="709"/>
        <w:jc w:val="both"/>
        <w:rPr>
          <w:rFonts w:eastAsia="Calibri"/>
          <w:color w:val="000000"/>
          <w:sz w:val="24"/>
          <w:szCs w:val="28"/>
          <w:lang w:eastAsia="en-US"/>
        </w:rPr>
      </w:pPr>
      <w:r>
        <w:rPr>
          <w:rFonts w:eastAsia="Calibri"/>
          <w:color w:val="000000"/>
          <w:sz w:val="24"/>
          <w:szCs w:val="28"/>
          <w:lang w:eastAsia="en-US"/>
        </w:rPr>
        <w:t xml:space="preserve">- </w:t>
      </w:r>
      <w:r w:rsidRPr="00623D10">
        <w:rPr>
          <w:rFonts w:eastAsia="Calibri"/>
          <w:color w:val="000000"/>
          <w:sz w:val="24"/>
          <w:szCs w:val="28"/>
          <w:lang w:eastAsia="en-US"/>
        </w:rPr>
        <w:t xml:space="preserve">прочих полезных ископаемых на </w:t>
      </w:r>
      <w:r>
        <w:rPr>
          <w:rFonts w:eastAsia="Calibri"/>
          <w:color w:val="000000"/>
          <w:sz w:val="24"/>
          <w:szCs w:val="28"/>
          <w:lang w:eastAsia="en-US"/>
        </w:rPr>
        <w:t>19,3</w:t>
      </w:r>
      <w:r w:rsidRPr="00623D10">
        <w:rPr>
          <w:rFonts w:eastAsia="Calibri"/>
          <w:color w:val="000000"/>
          <w:sz w:val="24"/>
          <w:szCs w:val="28"/>
          <w:lang w:eastAsia="en-US"/>
        </w:rPr>
        <w:t xml:space="preserve"> %.</w:t>
      </w:r>
    </w:p>
    <w:p w14:paraId="37C55848" w14:textId="77777777" w:rsidR="00605B80" w:rsidRDefault="00605B80" w:rsidP="00605B80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  <w:lang w:eastAsia="en-US"/>
        </w:rPr>
      </w:pPr>
      <w:r w:rsidRPr="0065673D">
        <w:rPr>
          <w:rFonts w:eastAsia="Calibri"/>
          <w:color w:val="000000"/>
          <w:sz w:val="24"/>
          <w:szCs w:val="28"/>
          <w:u w:val="single"/>
          <w:lang w:eastAsia="en-US"/>
        </w:rPr>
        <w:t>(3) В обеспечении электроэнергией, газом, паром и кондиционированным воздухом</w:t>
      </w:r>
      <w:r w:rsidRPr="0065673D">
        <w:rPr>
          <w:color w:val="000000"/>
          <w:sz w:val="24"/>
          <w:szCs w:val="24"/>
          <w:lang w:eastAsia="en-US"/>
        </w:rPr>
        <w:t xml:space="preserve"> (удельный вес в общем объеме промышленного производства </w:t>
      </w:r>
      <w:r>
        <w:rPr>
          <w:color w:val="000000"/>
          <w:sz w:val="24"/>
          <w:szCs w:val="24"/>
          <w:lang w:eastAsia="en-US"/>
        </w:rPr>
        <w:t>12,4</w:t>
      </w:r>
      <w:r w:rsidRPr="0065673D">
        <w:rPr>
          <w:color w:val="000000"/>
          <w:sz w:val="24"/>
          <w:szCs w:val="24"/>
          <w:lang w:eastAsia="en-US"/>
        </w:rPr>
        <w:t xml:space="preserve"> %) объем производства за январь-июль 202</w:t>
      </w:r>
      <w:r>
        <w:rPr>
          <w:color w:val="000000"/>
          <w:sz w:val="24"/>
          <w:szCs w:val="24"/>
          <w:lang w:eastAsia="en-US"/>
        </w:rPr>
        <w:t>5</w:t>
      </w:r>
      <w:r w:rsidRPr="0065673D">
        <w:rPr>
          <w:color w:val="000000"/>
          <w:sz w:val="24"/>
          <w:szCs w:val="24"/>
          <w:lang w:eastAsia="en-US"/>
        </w:rPr>
        <w:t xml:space="preserve"> года составил </w:t>
      </w:r>
      <w:r>
        <w:rPr>
          <w:color w:val="000000"/>
          <w:sz w:val="24"/>
          <w:szCs w:val="24"/>
          <w:lang w:eastAsia="en-US"/>
        </w:rPr>
        <w:t>46,3</w:t>
      </w:r>
      <w:r w:rsidRPr="0065673D">
        <w:rPr>
          <w:color w:val="000000"/>
          <w:sz w:val="24"/>
          <w:szCs w:val="24"/>
          <w:lang w:eastAsia="en-US"/>
        </w:rPr>
        <w:t xml:space="preserve"> млрд сомов и увеличился на </w:t>
      </w:r>
      <w:r>
        <w:rPr>
          <w:color w:val="000000"/>
          <w:sz w:val="24"/>
          <w:szCs w:val="24"/>
          <w:lang w:eastAsia="en-US"/>
        </w:rPr>
        <w:t>8,5</w:t>
      </w:r>
      <w:r w:rsidRPr="0065673D">
        <w:rPr>
          <w:color w:val="000000"/>
          <w:sz w:val="24"/>
          <w:szCs w:val="24"/>
          <w:lang w:eastAsia="en-US"/>
        </w:rPr>
        <w:t xml:space="preserve"> % к уровню соответствующего периода 202</w:t>
      </w:r>
      <w:r>
        <w:rPr>
          <w:color w:val="000000"/>
          <w:sz w:val="24"/>
          <w:szCs w:val="24"/>
          <w:lang w:eastAsia="en-US"/>
        </w:rPr>
        <w:t>4</w:t>
      </w:r>
      <w:r w:rsidRPr="0065673D">
        <w:rPr>
          <w:color w:val="000000"/>
          <w:sz w:val="24"/>
          <w:szCs w:val="24"/>
          <w:lang w:eastAsia="en-US"/>
        </w:rPr>
        <w:t xml:space="preserve"> года.</w:t>
      </w:r>
      <w:r>
        <w:rPr>
          <w:color w:val="000000"/>
          <w:sz w:val="24"/>
          <w:szCs w:val="24"/>
          <w:lang w:eastAsia="en-US"/>
        </w:rPr>
        <w:t xml:space="preserve"> Рост обусловлен</w:t>
      </w:r>
      <w:r w:rsidRPr="00AE4EE8">
        <w:rPr>
          <w:color w:val="000000"/>
          <w:sz w:val="24"/>
          <w:szCs w:val="24"/>
          <w:lang w:eastAsia="en-US"/>
        </w:rPr>
        <w:t xml:space="preserve"> увеличени</w:t>
      </w:r>
      <w:r>
        <w:rPr>
          <w:color w:val="000000"/>
          <w:sz w:val="24"/>
          <w:szCs w:val="24"/>
          <w:lang w:eastAsia="en-US"/>
        </w:rPr>
        <w:t>ем</w:t>
      </w:r>
      <w:r w:rsidRPr="00AE4EE8">
        <w:rPr>
          <w:color w:val="000000"/>
          <w:sz w:val="24"/>
          <w:szCs w:val="24"/>
          <w:lang w:eastAsia="en-US"/>
        </w:rPr>
        <w:t xml:space="preserve"> объемов </w:t>
      </w:r>
      <w:r w:rsidRPr="003E4058">
        <w:rPr>
          <w:color w:val="000000"/>
          <w:sz w:val="24"/>
          <w:szCs w:val="24"/>
          <w:lang w:eastAsia="en-US"/>
        </w:rPr>
        <w:t>производств</w:t>
      </w:r>
      <w:r>
        <w:rPr>
          <w:color w:val="000000"/>
          <w:sz w:val="24"/>
          <w:szCs w:val="24"/>
          <w:lang w:eastAsia="en-US"/>
        </w:rPr>
        <w:t>а</w:t>
      </w:r>
      <w:r w:rsidRPr="003E4058">
        <w:rPr>
          <w:color w:val="000000"/>
          <w:sz w:val="24"/>
          <w:szCs w:val="24"/>
          <w:lang w:eastAsia="en-US"/>
        </w:rPr>
        <w:t xml:space="preserve"> электроэнергии, ее передач</w:t>
      </w:r>
      <w:r>
        <w:rPr>
          <w:color w:val="000000"/>
          <w:sz w:val="24"/>
          <w:szCs w:val="24"/>
          <w:lang w:eastAsia="en-US"/>
        </w:rPr>
        <w:t>и</w:t>
      </w:r>
      <w:r w:rsidRPr="003E4058">
        <w:rPr>
          <w:color w:val="000000"/>
          <w:sz w:val="24"/>
          <w:szCs w:val="24"/>
          <w:lang w:eastAsia="en-US"/>
        </w:rPr>
        <w:t xml:space="preserve"> и распределени</w:t>
      </w:r>
      <w:r>
        <w:rPr>
          <w:color w:val="000000"/>
          <w:sz w:val="24"/>
          <w:szCs w:val="24"/>
          <w:lang w:eastAsia="en-US"/>
        </w:rPr>
        <w:t xml:space="preserve">я </w:t>
      </w:r>
      <w:r w:rsidRPr="00AE4EE8">
        <w:rPr>
          <w:color w:val="000000"/>
          <w:sz w:val="24"/>
          <w:szCs w:val="24"/>
          <w:lang w:eastAsia="en-US"/>
        </w:rPr>
        <w:t xml:space="preserve">– на </w:t>
      </w:r>
      <w:r>
        <w:rPr>
          <w:color w:val="000000"/>
          <w:sz w:val="24"/>
          <w:szCs w:val="24"/>
          <w:lang w:eastAsia="en-US"/>
        </w:rPr>
        <w:t>5</w:t>
      </w:r>
      <w:r w:rsidRPr="00AE4EE8">
        <w:rPr>
          <w:color w:val="000000"/>
          <w:sz w:val="24"/>
          <w:szCs w:val="24"/>
          <w:lang w:eastAsia="en-US"/>
        </w:rPr>
        <w:t>,4 %</w:t>
      </w:r>
      <w:r>
        <w:rPr>
          <w:color w:val="000000"/>
          <w:sz w:val="24"/>
          <w:szCs w:val="24"/>
          <w:lang w:eastAsia="en-US"/>
        </w:rPr>
        <w:t xml:space="preserve">; </w:t>
      </w:r>
      <w:r w:rsidRPr="0083211D">
        <w:rPr>
          <w:color w:val="000000"/>
          <w:sz w:val="24"/>
          <w:szCs w:val="24"/>
          <w:lang w:eastAsia="en-US"/>
        </w:rPr>
        <w:t>производств</w:t>
      </w:r>
      <w:r>
        <w:rPr>
          <w:color w:val="000000"/>
          <w:sz w:val="24"/>
          <w:szCs w:val="24"/>
          <w:lang w:eastAsia="en-US"/>
        </w:rPr>
        <w:t>а</w:t>
      </w:r>
      <w:r w:rsidRPr="0083211D">
        <w:rPr>
          <w:color w:val="000000"/>
          <w:sz w:val="24"/>
          <w:szCs w:val="24"/>
          <w:lang w:eastAsia="en-US"/>
        </w:rPr>
        <w:t xml:space="preserve"> газа; распределение газообразного топлива через системы газоснабжения</w:t>
      </w:r>
      <w:r>
        <w:rPr>
          <w:color w:val="000000"/>
          <w:sz w:val="24"/>
          <w:szCs w:val="24"/>
          <w:lang w:eastAsia="en-US"/>
        </w:rPr>
        <w:t xml:space="preserve"> - на 12,4 %; </w:t>
      </w:r>
      <w:r w:rsidRPr="00C850D9">
        <w:rPr>
          <w:color w:val="000000"/>
          <w:sz w:val="24"/>
          <w:szCs w:val="24"/>
          <w:lang w:eastAsia="en-US"/>
        </w:rPr>
        <w:t>обеспечени</w:t>
      </w:r>
      <w:r>
        <w:rPr>
          <w:color w:val="000000"/>
          <w:sz w:val="24"/>
          <w:szCs w:val="24"/>
          <w:lang w:eastAsia="en-US"/>
        </w:rPr>
        <w:t xml:space="preserve">я </w:t>
      </w:r>
      <w:r w:rsidRPr="00C850D9">
        <w:rPr>
          <w:color w:val="000000"/>
          <w:sz w:val="24"/>
          <w:szCs w:val="24"/>
          <w:lang w:eastAsia="en-US"/>
        </w:rPr>
        <w:t>(снабжение) паром и кондиционированным воздухом</w:t>
      </w:r>
      <w:r>
        <w:rPr>
          <w:color w:val="000000"/>
          <w:sz w:val="24"/>
          <w:szCs w:val="24"/>
          <w:lang w:eastAsia="en-US"/>
        </w:rPr>
        <w:t xml:space="preserve"> – на 36,9 %.</w:t>
      </w:r>
    </w:p>
    <w:p w14:paraId="28D89AA6" w14:textId="77777777" w:rsidR="00605B80" w:rsidRDefault="00605B80" w:rsidP="00605B80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  <w:lang w:eastAsia="en-US"/>
        </w:rPr>
      </w:pPr>
      <w:r w:rsidRPr="002C21F5">
        <w:rPr>
          <w:color w:val="000000"/>
          <w:sz w:val="24"/>
          <w:szCs w:val="24"/>
          <w:lang w:eastAsia="en-US"/>
        </w:rPr>
        <w:t xml:space="preserve">Выработка электроэнергии за </w:t>
      </w:r>
      <w:r>
        <w:rPr>
          <w:color w:val="000000"/>
          <w:sz w:val="24"/>
          <w:szCs w:val="24"/>
          <w:lang w:eastAsia="en-US"/>
        </w:rPr>
        <w:t xml:space="preserve">январь-июль </w:t>
      </w:r>
      <w:r w:rsidRPr="002C21F5">
        <w:rPr>
          <w:color w:val="000000"/>
          <w:sz w:val="24"/>
          <w:szCs w:val="24"/>
          <w:lang w:eastAsia="en-US"/>
        </w:rPr>
        <w:t>202</w:t>
      </w:r>
      <w:r>
        <w:rPr>
          <w:color w:val="000000"/>
          <w:sz w:val="24"/>
          <w:szCs w:val="24"/>
          <w:lang w:eastAsia="en-US"/>
        </w:rPr>
        <w:t>5</w:t>
      </w:r>
      <w:r w:rsidRPr="002C21F5">
        <w:rPr>
          <w:color w:val="000000"/>
          <w:sz w:val="24"/>
          <w:szCs w:val="24"/>
          <w:lang w:eastAsia="en-US"/>
        </w:rPr>
        <w:t xml:space="preserve"> год</w:t>
      </w:r>
      <w:r>
        <w:rPr>
          <w:color w:val="000000"/>
          <w:sz w:val="24"/>
          <w:szCs w:val="24"/>
          <w:lang w:eastAsia="en-US"/>
        </w:rPr>
        <w:t>а</w:t>
      </w:r>
      <w:r w:rsidRPr="002C21F5">
        <w:rPr>
          <w:color w:val="000000"/>
          <w:sz w:val="24"/>
          <w:szCs w:val="24"/>
          <w:lang w:eastAsia="en-US"/>
        </w:rPr>
        <w:t xml:space="preserve"> составила </w:t>
      </w:r>
      <w:r w:rsidRPr="0091466E">
        <w:rPr>
          <w:color w:val="000000"/>
          <w:sz w:val="24"/>
          <w:szCs w:val="24"/>
          <w:lang w:eastAsia="en-US"/>
        </w:rPr>
        <w:t>9351,2</w:t>
      </w:r>
      <w:r w:rsidRPr="002C21F5">
        <w:rPr>
          <w:color w:val="000000"/>
          <w:sz w:val="24"/>
          <w:szCs w:val="24"/>
          <w:lang w:eastAsia="en-US"/>
        </w:rPr>
        <w:t xml:space="preserve"> млн кВтч (против </w:t>
      </w:r>
      <w:r w:rsidRPr="0091466E">
        <w:rPr>
          <w:color w:val="000000"/>
          <w:sz w:val="24"/>
          <w:szCs w:val="24"/>
          <w:lang w:eastAsia="en-US"/>
        </w:rPr>
        <w:t>8480,2</w:t>
      </w:r>
      <w:r>
        <w:rPr>
          <w:color w:val="000000"/>
          <w:sz w:val="24"/>
          <w:szCs w:val="24"/>
          <w:lang w:eastAsia="en-US"/>
        </w:rPr>
        <w:t xml:space="preserve"> </w:t>
      </w:r>
      <w:r w:rsidRPr="002C21F5">
        <w:rPr>
          <w:color w:val="000000"/>
          <w:sz w:val="24"/>
          <w:szCs w:val="24"/>
          <w:lang w:eastAsia="en-US"/>
        </w:rPr>
        <w:t>млн кВтч в 202</w:t>
      </w:r>
      <w:r>
        <w:rPr>
          <w:color w:val="000000"/>
          <w:sz w:val="24"/>
          <w:szCs w:val="24"/>
          <w:lang w:eastAsia="en-US"/>
        </w:rPr>
        <w:t>4</w:t>
      </w:r>
      <w:r w:rsidRPr="002C21F5">
        <w:rPr>
          <w:color w:val="000000"/>
          <w:sz w:val="24"/>
          <w:szCs w:val="24"/>
          <w:lang w:eastAsia="en-US"/>
        </w:rPr>
        <w:t xml:space="preserve"> году), что на </w:t>
      </w:r>
      <w:r w:rsidRPr="0091466E">
        <w:rPr>
          <w:color w:val="000000"/>
          <w:sz w:val="24"/>
          <w:szCs w:val="24"/>
          <w:lang w:eastAsia="en-US"/>
        </w:rPr>
        <w:t>871,0</w:t>
      </w:r>
      <w:r>
        <w:rPr>
          <w:color w:val="000000"/>
          <w:sz w:val="24"/>
          <w:szCs w:val="24"/>
          <w:lang w:eastAsia="en-US"/>
        </w:rPr>
        <w:t xml:space="preserve"> </w:t>
      </w:r>
      <w:r w:rsidRPr="002C21F5">
        <w:rPr>
          <w:color w:val="000000"/>
          <w:sz w:val="24"/>
          <w:szCs w:val="24"/>
          <w:lang w:eastAsia="en-US"/>
        </w:rPr>
        <w:t xml:space="preserve">млн кВтч </w:t>
      </w:r>
      <w:r>
        <w:rPr>
          <w:color w:val="000000"/>
          <w:sz w:val="24"/>
          <w:szCs w:val="24"/>
          <w:lang w:eastAsia="en-US"/>
        </w:rPr>
        <w:t>больше</w:t>
      </w:r>
      <w:r w:rsidRPr="002C21F5">
        <w:rPr>
          <w:color w:val="000000"/>
          <w:sz w:val="24"/>
          <w:szCs w:val="24"/>
          <w:lang w:eastAsia="en-US"/>
        </w:rPr>
        <w:t xml:space="preserve">, или </w:t>
      </w:r>
      <w:r>
        <w:rPr>
          <w:color w:val="000000"/>
          <w:sz w:val="24"/>
          <w:szCs w:val="24"/>
          <w:lang w:eastAsia="en-US"/>
        </w:rPr>
        <w:t>110,3</w:t>
      </w:r>
      <w:r w:rsidRPr="002C21F5">
        <w:rPr>
          <w:color w:val="000000"/>
          <w:sz w:val="24"/>
          <w:szCs w:val="24"/>
          <w:lang w:eastAsia="en-US"/>
        </w:rPr>
        <w:t xml:space="preserve"> % к </w:t>
      </w:r>
      <w:r>
        <w:rPr>
          <w:color w:val="000000"/>
          <w:sz w:val="24"/>
          <w:szCs w:val="24"/>
          <w:lang w:eastAsia="en-US"/>
        </w:rPr>
        <w:t>соответствующему периоду 2024 года</w:t>
      </w:r>
      <w:r w:rsidRPr="002C21F5">
        <w:rPr>
          <w:color w:val="000000"/>
          <w:sz w:val="24"/>
          <w:szCs w:val="24"/>
          <w:lang w:eastAsia="en-US"/>
        </w:rPr>
        <w:t>.</w:t>
      </w:r>
      <w:r>
        <w:rPr>
          <w:color w:val="000000"/>
          <w:sz w:val="24"/>
          <w:szCs w:val="24"/>
          <w:lang w:eastAsia="en-US"/>
        </w:rPr>
        <w:t xml:space="preserve"> Увеличение обусловлено повышением потребления электроэнергии населением и хозяйствующими субъектами.</w:t>
      </w:r>
    </w:p>
    <w:p w14:paraId="18B199A4" w14:textId="77777777" w:rsidR="00605B80" w:rsidRDefault="00605B80" w:rsidP="00605B80">
      <w:pPr>
        <w:tabs>
          <w:tab w:val="left" w:pos="993"/>
        </w:tabs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65673D">
        <w:rPr>
          <w:rFonts w:eastAsia="Calibri"/>
          <w:color w:val="000000"/>
          <w:sz w:val="24"/>
          <w:szCs w:val="28"/>
          <w:u w:val="single"/>
          <w:lang w:eastAsia="en-US"/>
        </w:rPr>
        <w:t>(4) В водоснабжении, очистке, обработке отходов и получении вторичного сырья</w:t>
      </w:r>
      <w:r w:rsidRPr="0065673D">
        <w:rPr>
          <w:color w:val="000000"/>
          <w:sz w:val="24"/>
          <w:szCs w:val="28"/>
          <w:lang w:eastAsia="en-US"/>
        </w:rPr>
        <w:t xml:space="preserve"> (удельный вес в общем объеме промышленного производства 1,</w:t>
      </w:r>
      <w:r>
        <w:rPr>
          <w:color w:val="000000"/>
          <w:sz w:val="24"/>
          <w:szCs w:val="28"/>
          <w:lang w:eastAsia="en-US"/>
        </w:rPr>
        <w:t>0</w:t>
      </w:r>
      <w:r w:rsidRPr="0065673D">
        <w:rPr>
          <w:color w:val="000000"/>
          <w:sz w:val="24"/>
          <w:szCs w:val="28"/>
          <w:lang w:eastAsia="en-US"/>
        </w:rPr>
        <w:t xml:space="preserve"> %) индекс физического объема составил </w:t>
      </w:r>
      <w:r>
        <w:rPr>
          <w:color w:val="000000"/>
          <w:sz w:val="24"/>
          <w:szCs w:val="28"/>
          <w:lang w:eastAsia="en-US"/>
        </w:rPr>
        <w:t>127,6</w:t>
      </w:r>
      <w:r w:rsidRPr="0065673D">
        <w:rPr>
          <w:color w:val="000000"/>
          <w:sz w:val="24"/>
          <w:szCs w:val="28"/>
          <w:lang w:eastAsia="en-US"/>
        </w:rPr>
        <w:t xml:space="preserve"> %, при этом объем производства составил </w:t>
      </w:r>
      <w:r>
        <w:rPr>
          <w:color w:val="000000"/>
          <w:sz w:val="24"/>
          <w:szCs w:val="28"/>
          <w:lang w:eastAsia="en-US"/>
        </w:rPr>
        <w:t>3,8</w:t>
      </w:r>
      <w:r w:rsidRPr="0065673D">
        <w:rPr>
          <w:color w:val="000000"/>
          <w:sz w:val="24"/>
          <w:szCs w:val="28"/>
          <w:lang w:eastAsia="en-US"/>
        </w:rPr>
        <w:t xml:space="preserve"> млрд сомов.</w:t>
      </w:r>
      <w:r>
        <w:rPr>
          <w:color w:val="000000"/>
          <w:sz w:val="24"/>
          <w:szCs w:val="28"/>
          <w:lang w:eastAsia="en-US"/>
        </w:rPr>
        <w:t xml:space="preserve"> </w:t>
      </w:r>
      <w:r w:rsidRPr="003D431F">
        <w:rPr>
          <w:rFonts w:eastAsia="Calibri"/>
          <w:color w:val="000000" w:themeColor="text1"/>
          <w:sz w:val="24"/>
          <w:szCs w:val="24"/>
          <w:lang w:eastAsia="en-US"/>
        </w:rPr>
        <w:t xml:space="preserve">Увеличение объемов обусловлен за счет роста объемов сбора, обработки и распределения воды (водоснабжение) на </w:t>
      </w:r>
      <w:r>
        <w:rPr>
          <w:rFonts w:eastAsia="Calibri"/>
          <w:color w:val="000000" w:themeColor="text1"/>
          <w:sz w:val="24"/>
          <w:szCs w:val="24"/>
          <w:lang w:eastAsia="en-US"/>
        </w:rPr>
        <w:t>32,4</w:t>
      </w:r>
      <w:r w:rsidRPr="003D431F">
        <w:rPr>
          <w:rFonts w:eastAsia="Calibri"/>
          <w:color w:val="000000" w:themeColor="text1"/>
          <w:sz w:val="24"/>
          <w:szCs w:val="24"/>
          <w:lang w:eastAsia="en-US"/>
        </w:rPr>
        <w:t xml:space="preserve"> %, которые занимают в данной отрасли почти </w:t>
      </w:r>
      <w:r>
        <w:rPr>
          <w:rFonts w:eastAsia="Calibri"/>
          <w:color w:val="000000" w:themeColor="text1"/>
          <w:sz w:val="24"/>
          <w:szCs w:val="24"/>
          <w:lang w:eastAsia="en-US"/>
        </w:rPr>
        <w:t>6</w:t>
      </w:r>
      <w:r w:rsidRPr="003D431F">
        <w:rPr>
          <w:rFonts w:eastAsia="Calibri"/>
          <w:color w:val="000000" w:themeColor="text1"/>
          <w:sz w:val="24"/>
          <w:szCs w:val="24"/>
          <w:lang w:eastAsia="en-US"/>
        </w:rPr>
        <w:t xml:space="preserve">0 %, а также за счет сбора, обработки и уничтожения отходов, получение вторичного сырья – </w:t>
      </w:r>
      <w:r>
        <w:rPr>
          <w:rFonts w:eastAsia="Calibri"/>
          <w:color w:val="000000" w:themeColor="text1"/>
          <w:sz w:val="24"/>
          <w:szCs w:val="24"/>
          <w:lang w:eastAsia="en-US"/>
        </w:rPr>
        <w:t>на 36,9 %</w:t>
      </w:r>
      <w:r w:rsidRPr="003D431F">
        <w:rPr>
          <w:rFonts w:eastAsia="Calibri"/>
          <w:color w:val="000000" w:themeColor="text1"/>
          <w:sz w:val="24"/>
          <w:szCs w:val="24"/>
          <w:lang w:eastAsia="en-US"/>
        </w:rPr>
        <w:t>, обеззараживания и прочей обработки отходов – на 1</w:t>
      </w:r>
      <w:r>
        <w:rPr>
          <w:rFonts w:eastAsia="Calibri"/>
          <w:color w:val="000000" w:themeColor="text1"/>
          <w:sz w:val="24"/>
          <w:szCs w:val="24"/>
          <w:lang w:eastAsia="en-US"/>
        </w:rPr>
        <w:t>5,9</w:t>
      </w:r>
      <w:r w:rsidRPr="003D431F">
        <w:rPr>
          <w:rFonts w:eastAsia="Calibri"/>
          <w:color w:val="000000" w:themeColor="text1"/>
          <w:sz w:val="24"/>
          <w:szCs w:val="24"/>
          <w:lang w:eastAsia="en-US"/>
        </w:rPr>
        <w:t xml:space="preserve"> %, сбора и обработки сточных вод – на 1</w:t>
      </w:r>
      <w:r>
        <w:rPr>
          <w:rFonts w:eastAsia="Calibri"/>
          <w:color w:val="000000" w:themeColor="text1"/>
          <w:sz w:val="24"/>
          <w:szCs w:val="24"/>
          <w:lang w:eastAsia="en-US"/>
        </w:rPr>
        <w:t>2,3</w:t>
      </w:r>
      <w:r w:rsidRPr="003D431F">
        <w:rPr>
          <w:rFonts w:eastAsia="Calibri"/>
          <w:color w:val="000000" w:themeColor="text1"/>
          <w:sz w:val="24"/>
          <w:szCs w:val="24"/>
          <w:lang w:eastAsia="en-US"/>
        </w:rPr>
        <w:t xml:space="preserve"> %.</w:t>
      </w:r>
    </w:p>
    <w:p w14:paraId="6A9504CB" w14:textId="66990E6C" w:rsidR="002B03DD" w:rsidRPr="002B03DD" w:rsidRDefault="00A35A29" w:rsidP="002B03DD">
      <w:pPr>
        <w:ind w:firstLine="709"/>
        <w:jc w:val="both"/>
        <w:rPr>
          <w:rFonts w:eastAsia="Calibri"/>
          <w:bCs/>
          <w:color w:val="000000" w:themeColor="text1"/>
          <w:sz w:val="24"/>
          <w:szCs w:val="24"/>
          <w:lang w:eastAsia="en-US"/>
        </w:rPr>
      </w:pPr>
      <w:r w:rsidRPr="004B58BD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Сельское хозяйство. </w:t>
      </w:r>
      <w:r w:rsidRPr="004B58BD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За январь-июль 2025 года произведено валовой продукции сельского хозяйства на сумму 179,0 млрд сомов. Темп реального роста к уровню аналогичного периода 2024 года составил </w:t>
      </w:r>
      <w:r w:rsidRPr="00BC53E0">
        <w:rPr>
          <w:rFonts w:eastAsia="Calibri"/>
          <w:b/>
          <w:color w:val="000000" w:themeColor="text1"/>
          <w:sz w:val="24"/>
          <w:szCs w:val="24"/>
          <w:lang w:eastAsia="en-US"/>
        </w:rPr>
        <w:t>102,3 %.</w:t>
      </w:r>
      <w:r w:rsidRPr="004B58BD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Рост объемов валового выпуска сельскохозяйственной продукции по сравнению с соответствующим периодом 2024 года, в основном, обеспечен увеличением производства продукции животноводства на 3,0 % </w:t>
      </w:r>
      <w:r w:rsidR="002B03DD" w:rsidRPr="007A3F2F">
        <w:rPr>
          <w:rFonts w:eastAsia="Calibri"/>
          <w:color w:val="000000" w:themeColor="text1"/>
          <w:sz w:val="24"/>
          <w:szCs w:val="24"/>
          <w:lang w:eastAsia="en-US"/>
        </w:rPr>
        <w:t xml:space="preserve">за счет увеличения производства мяса на </w:t>
      </w:r>
      <w:r w:rsidR="002B03DD">
        <w:rPr>
          <w:rFonts w:eastAsia="Calibri"/>
          <w:color w:val="000000" w:themeColor="text1"/>
          <w:sz w:val="24"/>
          <w:szCs w:val="24"/>
          <w:lang w:eastAsia="en-US"/>
        </w:rPr>
        <w:t>3,7</w:t>
      </w:r>
      <w:r w:rsidR="002B03DD" w:rsidRPr="007A3F2F">
        <w:rPr>
          <w:rFonts w:eastAsia="Calibri"/>
          <w:color w:val="000000" w:themeColor="text1"/>
          <w:sz w:val="24"/>
          <w:szCs w:val="24"/>
          <w:lang w:eastAsia="en-US"/>
        </w:rPr>
        <w:t xml:space="preserve"> %</w:t>
      </w:r>
      <w:r w:rsidR="002B03DD">
        <w:rPr>
          <w:rFonts w:eastAsia="Calibri"/>
          <w:color w:val="000000" w:themeColor="text1"/>
          <w:sz w:val="24"/>
          <w:szCs w:val="24"/>
          <w:lang w:eastAsia="en-US"/>
        </w:rPr>
        <w:t xml:space="preserve">, </w:t>
      </w:r>
      <w:r w:rsidR="002B03DD" w:rsidRPr="007A3F2F">
        <w:rPr>
          <w:rFonts w:eastAsia="Calibri"/>
          <w:color w:val="000000" w:themeColor="text1"/>
          <w:sz w:val="24"/>
          <w:szCs w:val="24"/>
          <w:lang w:eastAsia="en-US"/>
        </w:rPr>
        <w:t>молока – на 2,</w:t>
      </w:r>
      <w:r w:rsidR="002B03DD">
        <w:rPr>
          <w:rFonts w:eastAsia="Calibri"/>
          <w:color w:val="000000" w:themeColor="text1"/>
          <w:sz w:val="24"/>
          <w:szCs w:val="24"/>
          <w:lang w:eastAsia="en-US"/>
        </w:rPr>
        <w:t>1</w:t>
      </w:r>
      <w:r w:rsidR="002B03DD" w:rsidRPr="007A3F2F">
        <w:rPr>
          <w:rFonts w:eastAsia="Calibri"/>
          <w:color w:val="000000" w:themeColor="text1"/>
          <w:sz w:val="24"/>
          <w:szCs w:val="24"/>
          <w:lang w:eastAsia="en-US"/>
        </w:rPr>
        <w:t xml:space="preserve"> % и яиц на 1</w:t>
      </w:r>
      <w:r w:rsidR="002B03DD">
        <w:rPr>
          <w:rFonts w:eastAsia="Calibri"/>
          <w:color w:val="000000" w:themeColor="text1"/>
          <w:sz w:val="24"/>
          <w:szCs w:val="24"/>
          <w:lang w:eastAsia="en-US"/>
        </w:rPr>
        <w:t>,9</w:t>
      </w:r>
      <w:r w:rsidR="002B03DD" w:rsidRPr="007A3F2F">
        <w:rPr>
          <w:rFonts w:eastAsia="Calibri"/>
          <w:color w:val="000000" w:themeColor="text1"/>
          <w:sz w:val="24"/>
          <w:szCs w:val="24"/>
          <w:lang w:eastAsia="en-US"/>
        </w:rPr>
        <w:t xml:space="preserve"> %</w:t>
      </w:r>
      <w:r w:rsidR="002B03DD">
        <w:rPr>
          <w:rFonts w:eastAsia="Calibri"/>
          <w:color w:val="000000" w:themeColor="text1"/>
          <w:sz w:val="24"/>
          <w:szCs w:val="24"/>
          <w:lang w:eastAsia="en-US"/>
        </w:rPr>
        <w:t xml:space="preserve">. </w:t>
      </w:r>
    </w:p>
    <w:p w14:paraId="02C1FCB7" w14:textId="297256CE" w:rsidR="00FC105B" w:rsidRDefault="00A35A29" w:rsidP="00FC105B">
      <w:pPr>
        <w:ind w:firstLine="709"/>
        <w:jc w:val="both"/>
        <w:rPr>
          <w:rFonts w:eastAsia="Calibri"/>
          <w:bCs/>
          <w:color w:val="000000" w:themeColor="text1"/>
          <w:sz w:val="24"/>
          <w:szCs w:val="24"/>
          <w:lang w:eastAsia="en-US"/>
        </w:rPr>
      </w:pPr>
      <w:r w:rsidRPr="004B58BD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В январе-июле </w:t>
      </w:r>
      <w:r w:rsidR="00123B0B">
        <w:rPr>
          <w:rFonts w:eastAsia="Calibri"/>
          <w:bCs/>
          <w:color w:val="000000" w:themeColor="text1"/>
          <w:sz w:val="24"/>
          <w:szCs w:val="24"/>
          <w:lang w:eastAsia="en-US"/>
        </w:rPr>
        <w:t>2025</w:t>
      </w:r>
      <w:r w:rsidRPr="004B58BD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года урожайность снизилась по сравнению с предыдущим периодом. Это связано с нехваткой поливной воды, а также с тем, что в текущем году наблюдалось более раннее созревание отдельных сельскохозяйственных культур – на 2-3 недели раньше, чем в прошлом году. В результате уборка урожая началась раньше, что повлияло на объем продукции предыдущего периода. Вследствие этого темп роста валовой продукции за январь–июль </w:t>
      </w:r>
      <w:r w:rsidR="00055398">
        <w:rPr>
          <w:rFonts w:eastAsia="Calibri"/>
          <w:bCs/>
          <w:color w:val="000000" w:themeColor="text1"/>
          <w:sz w:val="24"/>
          <w:szCs w:val="24"/>
          <w:lang w:eastAsia="en-US"/>
        </w:rPr>
        <w:t>замедлился</w:t>
      </w:r>
      <w:r w:rsidRPr="004B58BD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до 2,3 % по сравнению с январем–июнем 2025 года (рост на 3,8 %). </w:t>
      </w:r>
    </w:p>
    <w:p w14:paraId="39A2AEF1" w14:textId="6793107D" w:rsidR="00123B0B" w:rsidRDefault="00123B0B" w:rsidP="00A35A29">
      <w:pPr>
        <w:ind w:firstLine="709"/>
        <w:jc w:val="both"/>
        <w:rPr>
          <w:rFonts w:eastAsia="Calibri"/>
          <w:bCs/>
          <w:color w:val="000000" w:themeColor="text1"/>
          <w:sz w:val="24"/>
          <w:szCs w:val="24"/>
          <w:lang w:eastAsia="en-US"/>
        </w:rPr>
      </w:pPr>
      <w:r w:rsidRPr="00123B0B">
        <w:rPr>
          <w:rFonts w:eastAsia="Calibri"/>
          <w:bCs/>
          <w:color w:val="000000" w:themeColor="text1"/>
          <w:sz w:val="24"/>
          <w:szCs w:val="24"/>
          <w:lang w:eastAsia="en-US"/>
        </w:rPr>
        <w:t>Производство продукции растениеводства увеличился на 0,9 % за счет увеличения производства картофеля на 9,6 %, плодов и ягод – на 12,6 %, овощей – на 11,9 %, бахчевых культур – на 13,0 %.</w:t>
      </w:r>
    </w:p>
    <w:p w14:paraId="00251E2D" w14:textId="77777777" w:rsidR="00873E37" w:rsidRPr="00345293" w:rsidRDefault="00873E37" w:rsidP="00873E37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45293"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 xml:space="preserve">В настоящее время на территории республики продолжаются активные полевые работы. По состоянию на 11 августа 2025 года 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по оперативным данным </w:t>
      </w:r>
      <w:r w:rsidRPr="00345293">
        <w:rPr>
          <w:rFonts w:eastAsia="Calibri"/>
          <w:color w:val="000000" w:themeColor="text1"/>
          <w:sz w:val="24"/>
          <w:szCs w:val="24"/>
          <w:lang w:eastAsia="en-US"/>
        </w:rPr>
        <w:t>из общей площади посева зерновых культур в 678,4 тыс. га убрано 340,1 тыс. га, что составляет 50,1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345293">
        <w:rPr>
          <w:rFonts w:eastAsia="Calibri"/>
          <w:color w:val="000000" w:themeColor="text1"/>
          <w:sz w:val="24"/>
          <w:szCs w:val="24"/>
          <w:lang w:eastAsia="en-US"/>
        </w:rPr>
        <w:t>%. Этот показатель на 33,7 тыс. га выше по сравнению с аналогичным периодом 2024 года.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При этом п</w:t>
      </w:r>
      <w:r w:rsidRPr="00345293">
        <w:rPr>
          <w:rFonts w:eastAsia="Calibri"/>
          <w:color w:val="000000" w:themeColor="text1"/>
          <w:sz w:val="24"/>
          <w:szCs w:val="24"/>
          <w:lang w:eastAsia="en-US"/>
        </w:rPr>
        <w:t>шеница из</w:t>
      </w:r>
      <w:r w:rsidRPr="00FF7358">
        <w:rPr>
          <w:rFonts w:eastAsia="Calibri"/>
          <w:color w:val="000000" w:themeColor="text1"/>
          <w:sz w:val="24"/>
          <w:szCs w:val="24"/>
          <w:lang w:eastAsia="en-US"/>
        </w:rPr>
        <w:t xml:space="preserve"> общей площади посева </w:t>
      </w:r>
      <w:r w:rsidRPr="00345293">
        <w:rPr>
          <w:rFonts w:eastAsia="Calibri"/>
          <w:color w:val="000000" w:themeColor="text1"/>
          <w:sz w:val="24"/>
          <w:szCs w:val="24"/>
          <w:lang w:eastAsia="en-US"/>
        </w:rPr>
        <w:t>247,6 тыс. га убрано 190,8 тыс. га, что на 27,1 тыс. га больше, чем в 2024 году</w:t>
      </w:r>
      <w:r>
        <w:rPr>
          <w:rFonts w:eastAsia="Calibri"/>
          <w:color w:val="000000" w:themeColor="text1"/>
          <w:sz w:val="24"/>
          <w:szCs w:val="24"/>
          <w:lang w:eastAsia="en-US"/>
        </w:rPr>
        <w:t>,</w:t>
      </w:r>
      <w:r w:rsidRPr="00345293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="Calibri"/>
          <w:color w:val="000000" w:themeColor="text1"/>
          <w:sz w:val="24"/>
          <w:szCs w:val="24"/>
          <w:lang w:eastAsia="en-US"/>
        </w:rPr>
        <w:t>в</w:t>
      </w:r>
      <w:r w:rsidRPr="00345293">
        <w:rPr>
          <w:rFonts w:eastAsia="Calibri"/>
          <w:color w:val="000000" w:themeColor="text1"/>
          <w:sz w:val="24"/>
          <w:szCs w:val="24"/>
          <w:lang w:eastAsia="en-US"/>
        </w:rPr>
        <w:t>аловой сбор составил 397,1 тыс. тонн</w:t>
      </w:r>
      <w:r>
        <w:rPr>
          <w:rFonts w:eastAsia="Calibri"/>
          <w:color w:val="000000" w:themeColor="text1"/>
          <w:sz w:val="24"/>
          <w:szCs w:val="24"/>
          <w:lang w:eastAsia="en-US"/>
        </w:rPr>
        <w:t>; я</w:t>
      </w:r>
      <w:r w:rsidRPr="00345293">
        <w:rPr>
          <w:rFonts w:eastAsia="Calibri"/>
          <w:color w:val="000000" w:themeColor="text1"/>
          <w:sz w:val="24"/>
          <w:szCs w:val="24"/>
          <w:lang w:eastAsia="en-US"/>
        </w:rPr>
        <w:t>чмен</w:t>
      </w:r>
      <w:r>
        <w:rPr>
          <w:rFonts w:eastAsia="Calibri"/>
          <w:color w:val="000000" w:themeColor="text1"/>
          <w:sz w:val="24"/>
          <w:szCs w:val="24"/>
          <w:lang w:eastAsia="en-US"/>
        </w:rPr>
        <w:t>я</w:t>
      </w:r>
      <w:r w:rsidRPr="00345293">
        <w:rPr>
          <w:rFonts w:eastAsia="Calibri"/>
          <w:color w:val="000000" w:themeColor="text1"/>
          <w:sz w:val="24"/>
          <w:szCs w:val="24"/>
          <w:lang w:eastAsia="en-US"/>
        </w:rPr>
        <w:t xml:space="preserve"> из 249,3 тыс. га убрано 149,2 тыс. га, что на 6,5 тыс. га больше, чем в 2024 году</w:t>
      </w:r>
      <w:r>
        <w:rPr>
          <w:rFonts w:eastAsia="Calibri"/>
          <w:color w:val="000000" w:themeColor="text1"/>
          <w:sz w:val="24"/>
          <w:szCs w:val="24"/>
          <w:lang w:eastAsia="en-US"/>
        </w:rPr>
        <w:t>,</w:t>
      </w:r>
      <w:r w:rsidRPr="00345293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="Calibri"/>
          <w:color w:val="000000" w:themeColor="text1"/>
          <w:sz w:val="24"/>
          <w:szCs w:val="24"/>
          <w:lang w:eastAsia="en-US"/>
        </w:rPr>
        <w:t>в</w:t>
      </w:r>
      <w:r w:rsidRPr="00345293">
        <w:rPr>
          <w:rFonts w:eastAsia="Calibri"/>
          <w:color w:val="000000" w:themeColor="text1"/>
          <w:sz w:val="24"/>
          <w:szCs w:val="24"/>
          <w:lang w:eastAsia="en-US"/>
        </w:rPr>
        <w:t>аловой сбор – 240,6 тыс. тонн.</w:t>
      </w:r>
    </w:p>
    <w:p w14:paraId="2B03659D" w14:textId="77777777" w:rsidR="00873E37" w:rsidRPr="00345293" w:rsidRDefault="00873E37" w:rsidP="00873E37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45293">
        <w:rPr>
          <w:rFonts w:eastAsia="Calibri"/>
          <w:color w:val="000000" w:themeColor="text1"/>
          <w:sz w:val="24"/>
          <w:szCs w:val="24"/>
          <w:lang w:eastAsia="en-US"/>
        </w:rPr>
        <w:t>В Ошской области началась уборка кукурузы</w:t>
      </w:r>
      <w:r>
        <w:rPr>
          <w:rFonts w:eastAsia="Calibri"/>
          <w:color w:val="000000" w:themeColor="text1"/>
          <w:sz w:val="24"/>
          <w:szCs w:val="24"/>
          <w:lang w:eastAsia="en-US"/>
        </w:rPr>
        <w:t>, с</w:t>
      </w:r>
      <w:r w:rsidRPr="00345293">
        <w:rPr>
          <w:rFonts w:eastAsia="Calibri"/>
          <w:color w:val="000000" w:themeColor="text1"/>
          <w:sz w:val="24"/>
          <w:szCs w:val="24"/>
          <w:lang w:eastAsia="en-US"/>
        </w:rPr>
        <w:t xml:space="preserve"> площади 52 га собрано 279 тонн урожая. В 2025 году уборка кукурузы будет проведена на площади 111,6 тыс. га.</w:t>
      </w:r>
    </w:p>
    <w:p w14:paraId="3C5DF388" w14:textId="77777777" w:rsidR="00873E37" w:rsidRDefault="00873E37" w:rsidP="00873E37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45293">
        <w:rPr>
          <w:rFonts w:eastAsia="Calibri"/>
          <w:color w:val="000000" w:themeColor="text1"/>
          <w:sz w:val="24"/>
          <w:szCs w:val="24"/>
          <w:lang w:eastAsia="en-US"/>
        </w:rPr>
        <w:t>Кроме того, в Ошской, Джалал-Абадской, Чуйской, Баткенской и Иссык-Кульской областях продолжается уборка овощей, бахчевых культур и картофеля: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к</w:t>
      </w:r>
      <w:r w:rsidRPr="00345293">
        <w:rPr>
          <w:rFonts w:eastAsia="Calibri"/>
          <w:color w:val="000000" w:themeColor="text1"/>
          <w:sz w:val="24"/>
          <w:szCs w:val="24"/>
          <w:lang w:eastAsia="en-US"/>
        </w:rPr>
        <w:t>артофель – ранние и среднеранние сорта убраны с 12,7 тыс. га, валовой сбор составил 205,7 тыс. тонн (средняя урожайность – 162,2 ц/га). Общая площадь посева картофеля – 64,6 тыс. га.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345293">
        <w:rPr>
          <w:rFonts w:eastAsia="Calibri"/>
          <w:color w:val="000000" w:themeColor="text1"/>
          <w:sz w:val="24"/>
          <w:szCs w:val="24"/>
          <w:lang w:eastAsia="en-US"/>
        </w:rPr>
        <w:t>Бахчевые культуры убрано 10,28 тыс. га, валовой сбор – 255,8 тыс. тонн.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У</w:t>
      </w:r>
      <w:r w:rsidRPr="00345293">
        <w:rPr>
          <w:rFonts w:eastAsia="Calibri"/>
          <w:color w:val="000000" w:themeColor="text1"/>
          <w:sz w:val="24"/>
          <w:szCs w:val="24"/>
          <w:lang w:eastAsia="en-US"/>
        </w:rPr>
        <w:t xml:space="preserve">борка 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овощей </w:t>
      </w:r>
      <w:r w:rsidRPr="00345293">
        <w:rPr>
          <w:rFonts w:eastAsia="Calibri"/>
          <w:color w:val="000000" w:themeColor="text1"/>
          <w:sz w:val="24"/>
          <w:szCs w:val="24"/>
          <w:lang w:eastAsia="en-US"/>
        </w:rPr>
        <w:t>ведется на 23,1 тыс. га, валовой сбор – 580,8 тыс. тонн.</w:t>
      </w:r>
    </w:p>
    <w:p w14:paraId="7B5472CF" w14:textId="77777777" w:rsidR="00873E37" w:rsidRDefault="00873E37" w:rsidP="00873E37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D4A24">
        <w:rPr>
          <w:rFonts w:eastAsia="Calibri"/>
          <w:color w:val="000000" w:themeColor="text1"/>
          <w:sz w:val="24"/>
          <w:szCs w:val="24"/>
          <w:lang w:eastAsia="en-US"/>
        </w:rPr>
        <w:t xml:space="preserve">Продолжается государственная поддержка по финансированию отраслей сельского хозяйства. По состоянию </w:t>
      </w:r>
      <w:r w:rsidRPr="00C927FD">
        <w:rPr>
          <w:rFonts w:eastAsia="Calibri"/>
          <w:color w:val="000000" w:themeColor="text1"/>
          <w:sz w:val="24"/>
          <w:szCs w:val="24"/>
          <w:lang w:eastAsia="en-US"/>
        </w:rPr>
        <w:t xml:space="preserve">на 7 августа 2025 года </w:t>
      </w:r>
      <w:r w:rsidRPr="003D4A24">
        <w:rPr>
          <w:rFonts w:eastAsia="Calibri"/>
          <w:color w:val="000000" w:themeColor="text1"/>
          <w:sz w:val="24"/>
          <w:szCs w:val="24"/>
          <w:lang w:eastAsia="en-US"/>
        </w:rPr>
        <w:t xml:space="preserve">в рамках проекта «Финансирование сельского хозяйства-13» </w:t>
      </w:r>
      <w:r>
        <w:rPr>
          <w:rFonts w:eastAsia="Calibri"/>
          <w:color w:val="000000" w:themeColor="text1"/>
          <w:sz w:val="24"/>
          <w:szCs w:val="24"/>
          <w:lang w:eastAsia="en-US"/>
        </w:rPr>
        <w:t>6017</w:t>
      </w:r>
      <w:r w:rsidRPr="003D4A24">
        <w:rPr>
          <w:rFonts w:eastAsia="Calibri"/>
          <w:color w:val="000000" w:themeColor="text1"/>
          <w:sz w:val="24"/>
          <w:szCs w:val="24"/>
          <w:lang w:eastAsia="en-US"/>
        </w:rPr>
        <w:t xml:space="preserve"> сельских товаропроизводителей республики профинансированы льготные кредиты на сумму 3</w:t>
      </w:r>
      <w:r>
        <w:rPr>
          <w:rFonts w:eastAsia="Calibri"/>
          <w:color w:val="000000" w:themeColor="text1"/>
          <w:sz w:val="24"/>
          <w:szCs w:val="24"/>
          <w:lang w:eastAsia="en-US"/>
        </w:rPr>
        <w:t> 759,23</w:t>
      </w:r>
      <w:r w:rsidRPr="003D4A24">
        <w:rPr>
          <w:rFonts w:eastAsia="Calibri"/>
          <w:color w:val="000000" w:themeColor="text1"/>
          <w:sz w:val="24"/>
          <w:szCs w:val="24"/>
          <w:lang w:eastAsia="en-US"/>
        </w:rPr>
        <w:t xml:space="preserve"> млн сомов, в том числе: по отрасли «животноводство» 4 </w:t>
      </w:r>
      <w:r>
        <w:rPr>
          <w:rFonts w:eastAsia="Calibri"/>
          <w:color w:val="000000" w:themeColor="text1"/>
          <w:sz w:val="24"/>
          <w:szCs w:val="24"/>
          <w:lang w:eastAsia="en-US"/>
        </w:rPr>
        <w:t>982</w:t>
      </w:r>
      <w:r w:rsidRPr="003D4A24">
        <w:rPr>
          <w:rFonts w:eastAsia="Calibri"/>
          <w:color w:val="000000" w:themeColor="text1"/>
          <w:sz w:val="24"/>
          <w:szCs w:val="24"/>
          <w:lang w:eastAsia="en-US"/>
        </w:rPr>
        <w:t xml:space="preserve"> субъектов на сумму </w:t>
      </w:r>
      <w:r>
        <w:rPr>
          <w:rFonts w:eastAsia="Calibri"/>
          <w:color w:val="000000" w:themeColor="text1"/>
          <w:sz w:val="24"/>
          <w:szCs w:val="24"/>
          <w:lang w:eastAsia="en-US"/>
        </w:rPr>
        <w:t>3071,21</w:t>
      </w:r>
      <w:r w:rsidRPr="003D4A24">
        <w:rPr>
          <w:rFonts w:eastAsia="Calibri"/>
          <w:color w:val="000000" w:themeColor="text1"/>
          <w:sz w:val="24"/>
          <w:szCs w:val="24"/>
          <w:lang w:eastAsia="en-US"/>
        </w:rPr>
        <w:t xml:space="preserve"> млн сомов; по отрасли «растениеводство» 8</w:t>
      </w:r>
      <w:r>
        <w:rPr>
          <w:rFonts w:eastAsia="Calibri"/>
          <w:color w:val="000000" w:themeColor="text1"/>
          <w:sz w:val="24"/>
          <w:szCs w:val="24"/>
          <w:lang w:eastAsia="en-US"/>
        </w:rPr>
        <w:t>93</w:t>
      </w:r>
      <w:r w:rsidRPr="003D4A24">
        <w:rPr>
          <w:rFonts w:eastAsia="Calibri"/>
          <w:color w:val="000000" w:themeColor="text1"/>
          <w:sz w:val="24"/>
          <w:szCs w:val="24"/>
          <w:lang w:eastAsia="en-US"/>
        </w:rPr>
        <w:t xml:space="preserve"> субъектов на сумму 43</w:t>
      </w:r>
      <w:r>
        <w:rPr>
          <w:rFonts w:eastAsia="Calibri"/>
          <w:color w:val="000000" w:themeColor="text1"/>
          <w:sz w:val="24"/>
          <w:szCs w:val="24"/>
          <w:lang w:eastAsia="en-US"/>
        </w:rPr>
        <w:t>7,92</w:t>
      </w:r>
      <w:r w:rsidRPr="003D4A24">
        <w:rPr>
          <w:rFonts w:eastAsia="Calibri"/>
          <w:color w:val="000000" w:themeColor="text1"/>
          <w:sz w:val="24"/>
          <w:szCs w:val="24"/>
          <w:lang w:eastAsia="en-US"/>
        </w:rPr>
        <w:t xml:space="preserve"> млн сомов; в сфере </w:t>
      </w:r>
      <w:r w:rsidRPr="00EF786B">
        <w:rPr>
          <w:rFonts w:eastAsia="Calibri"/>
          <w:color w:val="000000" w:themeColor="text1"/>
          <w:sz w:val="24"/>
          <w:szCs w:val="24"/>
          <w:lang w:eastAsia="en-US"/>
        </w:rPr>
        <w:t xml:space="preserve">«водосберегающие технологии» </w:t>
      </w:r>
      <w:r w:rsidRPr="003D4A24">
        <w:rPr>
          <w:rFonts w:eastAsia="Calibri"/>
          <w:color w:val="000000" w:themeColor="text1"/>
          <w:sz w:val="24"/>
          <w:szCs w:val="24"/>
          <w:lang w:eastAsia="en-US"/>
        </w:rPr>
        <w:t>2</w:t>
      </w:r>
      <w:r>
        <w:rPr>
          <w:rFonts w:eastAsia="Calibri"/>
          <w:color w:val="000000" w:themeColor="text1"/>
          <w:sz w:val="24"/>
          <w:szCs w:val="24"/>
          <w:lang w:eastAsia="en-US"/>
        </w:rPr>
        <w:t>4</w:t>
      </w:r>
      <w:r w:rsidRPr="003D4A24">
        <w:rPr>
          <w:rFonts w:eastAsia="Calibri"/>
          <w:color w:val="000000" w:themeColor="text1"/>
          <w:sz w:val="24"/>
          <w:szCs w:val="24"/>
          <w:lang w:eastAsia="en-US"/>
        </w:rPr>
        <w:t xml:space="preserve"> субъектов на сумму 1</w:t>
      </w:r>
      <w:r>
        <w:rPr>
          <w:rFonts w:eastAsia="Calibri"/>
          <w:color w:val="000000" w:themeColor="text1"/>
          <w:sz w:val="24"/>
          <w:szCs w:val="24"/>
          <w:lang w:eastAsia="en-US"/>
        </w:rPr>
        <w:t>7,0</w:t>
      </w:r>
      <w:r w:rsidRPr="003D4A24">
        <w:rPr>
          <w:rFonts w:eastAsia="Calibri"/>
          <w:color w:val="000000" w:themeColor="text1"/>
          <w:sz w:val="24"/>
          <w:szCs w:val="24"/>
          <w:lang w:eastAsia="en-US"/>
        </w:rPr>
        <w:t xml:space="preserve"> млн сомов; в сфере «</w:t>
      </w:r>
      <w:r>
        <w:rPr>
          <w:rFonts w:eastAsia="Calibri"/>
          <w:color w:val="000000" w:themeColor="text1"/>
          <w:sz w:val="24"/>
          <w:szCs w:val="24"/>
          <w:lang w:eastAsia="en-US"/>
        </w:rPr>
        <w:t>л</w:t>
      </w:r>
      <w:r w:rsidRPr="003D4A24">
        <w:rPr>
          <w:rFonts w:eastAsia="Calibri"/>
          <w:color w:val="000000" w:themeColor="text1"/>
          <w:sz w:val="24"/>
          <w:szCs w:val="24"/>
          <w:lang w:eastAsia="en-US"/>
        </w:rPr>
        <w:t>изинг» 1</w:t>
      </w:r>
      <w:r>
        <w:rPr>
          <w:rFonts w:eastAsia="Calibri"/>
          <w:color w:val="000000" w:themeColor="text1"/>
          <w:sz w:val="24"/>
          <w:szCs w:val="24"/>
          <w:lang w:eastAsia="en-US"/>
        </w:rPr>
        <w:t>18</w:t>
      </w:r>
      <w:r w:rsidRPr="003D4A24">
        <w:rPr>
          <w:rFonts w:eastAsia="Calibri"/>
          <w:color w:val="000000" w:themeColor="text1"/>
          <w:sz w:val="24"/>
          <w:szCs w:val="24"/>
          <w:lang w:eastAsia="en-US"/>
        </w:rPr>
        <w:t xml:space="preserve"> субъектов на сумму 2</w:t>
      </w:r>
      <w:r>
        <w:rPr>
          <w:rFonts w:eastAsia="Calibri"/>
          <w:color w:val="000000" w:themeColor="text1"/>
          <w:sz w:val="24"/>
          <w:szCs w:val="24"/>
          <w:lang w:eastAsia="en-US"/>
        </w:rPr>
        <w:t>33,1</w:t>
      </w:r>
      <w:r w:rsidRPr="003D4A24">
        <w:rPr>
          <w:rFonts w:eastAsia="Calibri"/>
          <w:color w:val="000000" w:themeColor="text1"/>
          <w:sz w:val="24"/>
          <w:szCs w:val="24"/>
          <w:lang w:eastAsia="en-US"/>
        </w:rPr>
        <w:t xml:space="preserve"> млн сомов. В реализации данного проекта участвуют ОАО «Айыл Банк» и ОАО «Элдик Банк» с объемом кредитования 5,0 млрд сомов.</w:t>
      </w:r>
    </w:p>
    <w:p w14:paraId="26A38DCC" w14:textId="77777777" w:rsidR="00A35A29" w:rsidRPr="004B58BD" w:rsidRDefault="00A35A29" w:rsidP="00A35A29">
      <w:pPr>
        <w:ind w:firstLine="709"/>
        <w:jc w:val="both"/>
        <w:rPr>
          <w:rFonts w:eastAsia="Calibri"/>
          <w:bCs/>
          <w:color w:val="000000" w:themeColor="text1"/>
          <w:sz w:val="24"/>
          <w:szCs w:val="24"/>
          <w:lang w:eastAsia="en-US"/>
        </w:rPr>
      </w:pPr>
      <w:r w:rsidRPr="004B58BD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Вклад в формирование ВВП со стороны сельскохозяйственного производства составил 0,17 процентных пункта. Удельный вес сельского хозяйства в структуре производства ВВП составил 6,9 %. </w:t>
      </w:r>
    </w:p>
    <w:p w14:paraId="4396CDF6" w14:textId="77777777" w:rsidR="00A35A29" w:rsidRPr="004B58BD" w:rsidRDefault="00A35A29" w:rsidP="00A35A29">
      <w:pPr>
        <w:ind w:firstLine="709"/>
        <w:jc w:val="both"/>
        <w:rPr>
          <w:color w:val="212529"/>
          <w:sz w:val="24"/>
          <w:szCs w:val="24"/>
        </w:rPr>
      </w:pPr>
      <w:r w:rsidRPr="004B58BD">
        <w:rPr>
          <w:b/>
          <w:color w:val="212529"/>
          <w:sz w:val="24"/>
          <w:szCs w:val="24"/>
        </w:rPr>
        <w:t>Строительство</w:t>
      </w:r>
      <w:r w:rsidRPr="004B58BD">
        <w:rPr>
          <w:color w:val="212529"/>
          <w:sz w:val="24"/>
          <w:szCs w:val="24"/>
        </w:rPr>
        <w:t xml:space="preserve">. По итогам за январь-июль 2025 года объем инвестиций в основной капитал за счет всех источников финансирования составил 141,9 млрд сомов и увеличился на </w:t>
      </w:r>
      <w:r w:rsidRPr="00BC53E0">
        <w:rPr>
          <w:b/>
          <w:bCs/>
          <w:color w:val="212529"/>
          <w:sz w:val="24"/>
          <w:szCs w:val="24"/>
        </w:rPr>
        <w:t>33,4</w:t>
      </w:r>
      <w:r w:rsidRPr="00BC53E0">
        <w:rPr>
          <w:b/>
          <w:bCs/>
          <w:sz w:val="24"/>
          <w:szCs w:val="24"/>
        </w:rPr>
        <w:t> </w:t>
      </w:r>
      <w:r w:rsidRPr="00BC53E0">
        <w:rPr>
          <w:b/>
          <w:bCs/>
          <w:color w:val="212529"/>
          <w:sz w:val="24"/>
          <w:szCs w:val="24"/>
        </w:rPr>
        <w:t>%</w:t>
      </w:r>
      <w:r w:rsidRPr="004B58BD">
        <w:rPr>
          <w:color w:val="212529"/>
          <w:sz w:val="24"/>
          <w:szCs w:val="24"/>
        </w:rPr>
        <w:t xml:space="preserve"> (рост на 49,2 % в январе-июле 2024 года).</w:t>
      </w:r>
    </w:p>
    <w:p w14:paraId="0B683874" w14:textId="2278EFDC" w:rsidR="00A35A29" w:rsidRPr="004B58BD" w:rsidRDefault="00A35A29" w:rsidP="00A35A29">
      <w:pPr>
        <w:shd w:val="clear" w:color="auto" w:fill="FFFFFF"/>
        <w:ind w:firstLine="709"/>
        <w:jc w:val="both"/>
        <w:rPr>
          <w:sz w:val="24"/>
          <w:szCs w:val="24"/>
        </w:rPr>
      </w:pPr>
      <w:r w:rsidRPr="004B58BD">
        <w:rPr>
          <w:sz w:val="24"/>
          <w:szCs w:val="24"/>
        </w:rPr>
        <w:t>Увеличение объемов инвестиций в основной капитал по сравнению с январем-июлем 2024 года обеспечено за счет роста внутренних источников финансирования (на 52,2 %), в то время как объем внешних источников, напротив, снизился (на 40</w:t>
      </w:r>
      <w:r w:rsidR="003A572E">
        <w:rPr>
          <w:sz w:val="24"/>
          <w:szCs w:val="24"/>
        </w:rPr>
        <w:t>,</w:t>
      </w:r>
      <w:r w:rsidRPr="004B58BD">
        <w:rPr>
          <w:sz w:val="24"/>
          <w:szCs w:val="24"/>
        </w:rPr>
        <w:t>5 %).</w:t>
      </w:r>
    </w:p>
    <w:p w14:paraId="384A64B3" w14:textId="77777777" w:rsidR="00A35A29" w:rsidRPr="004B58BD" w:rsidRDefault="00A35A29" w:rsidP="00A35A29">
      <w:pPr>
        <w:shd w:val="clear" w:color="auto" w:fill="FFFFFF"/>
        <w:ind w:firstLine="709"/>
        <w:jc w:val="both"/>
        <w:rPr>
          <w:sz w:val="24"/>
          <w:szCs w:val="24"/>
        </w:rPr>
      </w:pPr>
      <w:r w:rsidRPr="004B58BD">
        <w:rPr>
          <w:sz w:val="24"/>
          <w:szCs w:val="24"/>
        </w:rPr>
        <w:t>Основной объем инвестиций в январе-июле 2025 года (более 85</w:t>
      </w:r>
      <w:r w:rsidRPr="004B58BD">
        <w:rPr>
          <w:color w:val="212529"/>
          <w:sz w:val="24"/>
          <w:szCs w:val="24"/>
        </w:rPr>
        <w:t> </w:t>
      </w:r>
      <w:r w:rsidRPr="004B58BD">
        <w:t>%</w:t>
      </w:r>
      <w:r w:rsidRPr="004B58BD">
        <w:rPr>
          <w:sz w:val="24"/>
          <w:szCs w:val="24"/>
        </w:rPr>
        <w:t xml:space="preserve"> от их общего объема) направлен на строительство объектов добычи полезных ископаемых, обрабатывающих производств, транспортной деятельности и хранения грузов, обеспечения (снабжения) электроэнергией, газом, паром и кондиционированным воздухом, образования, а также жилищное строительство.</w:t>
      </w:r>
    </w:p>
    <w:p w14:paraId="19060776" w14:textId="77777777" w:rsidR="00A35A29" w:rsidRPr="004B58BD" w:rsidRDefault="00A35A29" w:rsidP="00A35A29">
      <w:pPr>
        <w:shd w:val="clear" w:color="auto" w:fill="FFFFFF"/>
        <w:ind w:firstLine="709"/>
        <w:jc w:val="both"/>
        <w:rPr>
          <w:sz w:val="24"/>
          <w:szCs w:val="24"/>
        </w:rPr>
      </w:pPr>
      <w:r w:rsidRPr="004B58BD">
        <w:rPr>
          <w:sz w:val="24"/>
          <w:szCs w:val="24"/>
        </w:rPr>
        <w:t>Значительная капитализация экономики за отчетный период обусловлена:</w:t>
      </w:r>
    </w:p>
    <w:p w14:paraId="17590AF1" w14:textId="77777777" w:rsidR="00A35A29" w:rsidRPr="004B58BD" w:rsidRDefault="00A35A29" w:rsidP="00A35A29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4B58BD">
        <w:rPr>
          <w:sz w:val="24"/>
          <w:szCs w:val="24"/>
        </w:rPr>
        <w:t>увеличением объемов жилищного строительства в рамках программы «Менин үйүм»;</w:t>
      </w:r>
    </w:p>
    <w:p w14:paraId="4E05878E" w14:textId="1496884B" w:rsidR="00A35A29" w:rsidRPr="004B58BD" w:rsidRDefault="00A35A29" w:rsidP="00A35A29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4B58BD">
        <w:rPr>
          <w:sz w:val="24"/>
          <w:szCs w:val="24"/>
        </w:rPr>
        <w:t>увеличением инвестиций в развитие и модернизацию сетей, включая строительство новых базовых станций, операторы мобильной связи Кыргызстана –  ЗАО «Альфа Телеком» (бренд MegaCom) и ОсОО «Нур Телеком» (бренд О!);</w:t>
      </w:r>
    </w:p>
    <w:p w14:paraId="452E41C8" w14:textId="77777777" w:rsidR="00A35A29" w:rsidRPr="004B58BD" w:rsidRDefault="00A35A29" w:rsidP="00A35A29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4B58BD">
        <w:rPr>
          <w:sz w:val="24"/>
          <w:szCs w:val="24"/>
        </w:rPr>
        <w:t>увеличение объемов инвестиций в строительство объектов образования;</w:t>
      </w:r>
    </w:p>
    <w:p w14:paraId="1A9E5E6A" w14:textId="43B7B287" w:rsidR="00A35A29" w:rsidRPr="004B58BD" w:rsidRDefault="00A35A29" w:rsidP="00A35A29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4B58BD">
        <w:rPr>
          <w:sz w:val="24"/>
          <w:szCs w:val="24"/>
        </w:rPr>
        <w:t>увеличением капитальных вложений в развитие городской инфраструктуры г</w:t>
      </w:r>
      <w:r w:rsidR="000E3871">
        <w:rPr>
          <w:sz w:val="24"/>
          <w:szCs w:val="24"/>
        </w:rPr>
        <w:t>г.</w:t>
      </w:r>
      <w:r w:rsidRPr="004B58BD">
        <w:rPr>
          <w:sz w:val="24"/>
          <w:szCs w:val="24"/>
        </w:rPr>
        <w:t xml:space="preserve"> Бишкек</w:t>
      </w:r>
      <w:r w:rsidR="000E3871">
        <w:rPr>
          <w:sz w:val="24"/>
          <w:szCs w:val="24"/>
        </w:rPr>
        <w:t>, Ош</w:t>
      </w:r>
      <w:r w:rsidRPr="004B58BD">
        <w:rPr>
          <w:sz w:val="24"/>
          <w:szCs w:val="24"/>
        </w:rPr>
        <w:t>;</w:t>
      </w:r>
    </w:p>
    <w:p w14:paraId="4898CA4B" w14:textId="77777777" w:rsidR="00A35A29" w:rsidRPr="004B58BD" w:rsidRDefault="00A35A29" w:rsidP="00A35A29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4B58BD">
        <w:rPr>
          <w:sz w:val="24"/>
          <w:szCs w:val="24"/>
        </w:rPr>
        <w:t>увеличение объемов инвестиций в строительство спортивных сооружений;</w:t>
      </w:r>
    </w:p>
    <w:p w14:paraId="28958B85" w14:textId="77777777" w:rsidR="00A35A29" w:rsidRPr="004B58BD" w:rsidRDefault="00A35A29" w:rsidP="00A35A29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4B58BD">
        <w:rPr>
          <w:sz w:val="24"/>
          <w:szCs w:val="24"/>
        </w:rPr>
        <w:t>увеличение инвестиций в развитие туристической инфраструктуры страны.</w:t>
      </w:r>
    </w:p>
    <w:p w14:paraId="0C1632DA" w14:textId="77777777" w:rsidR="00A35A29" w:rsidRPr="004B58BD" w:rsidRDefault="00A35A29" w:rsidP="00A35A29">
      <w:pPr>
        <w:shd w:val="clear" w:color="auto" w:fill="FFFFFF"/>
        <w:ind w:firstLine="709"/>
        <w:jc w:val="both"/>
        <w:rPr>
          <w:sz w:val="24"/>
          <w:szCs w:val="24"/>
        </w:rPr>
      </w:pPr>
      <w:r w:rsidRPr="004B58BD">
        <w:rPr>
          <w:sz w:val="24"/>
          <w:szCs w:val="24"/>
        </w:rPr>
        <w:lastRenderedPageBreak/>
        <w:t xml:space="preserve">Исходя из объемов капитализации экономики, общий объем валовой продукции строительства за январь-июль 2025 года составил 145,2 млрд сомов и увеличился </w:t>
      </w:r>
      <w:r w:rsidRPr="004B58BD">
        <w:rPr>
          <w:b/>
          <w:bCs/>
          <w:sz w:val="24"/>
          <w:szCs w:val="24"/>
        </w:rPr>
        <w:t>на 37,8 %</w:t>
      </w:r>
      <w:r w:rsidRPr="004B58BD">
        <w:rPr>
          <w:sz w:val="24"/>
          <w:szCs w:val="24"/>
        </w:rPr>
        <w:t xml:space="preserve"> (рост на 38,7 % в январе-июле 2024 года).</w:t>
      </w:r>
    </w:p>
    <w:p w14:paraId="6828DAE9" w14:textId="4B2C6164" w:rsidR="00A35A29" w:rsidRPr="004B58BD" w:rsidRDefault="00A35A29" w:rsidP="00A35A2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B58BD">
        <w:rPr>
          <w:rFonts w:eastAsia="Calibri"/>
          <w:sz w:val="24"/>
          <w:szCs w:val="24"/>
          <w:lang w:eastAsia="en-US"/>
        </w:rPr>
        <w:t>Вклад в формирование ВВП со стороны строительного сектора оценивается на уровне 2,25 процентных пункта, удельный вес в структуре производства ВВП составил 7,4</w:t>
      </w:r>
      <w:r w:rsidRPr="004B58BD">
        <w:rPr>
          <w:sz w:val="24"/>
          <w:szCs w:val="24"/>
        </w:rPr>
        <w:t> </w:t>
      </w:r>
      <w:r w:rsidRPr="004B58BD">
        <w:rPr>
          <w:rFonts w:eastAsia="Calibri"/>
          <w:sz w:val="24"/>
          <w:szCs w:val="24"/>
          <w:lang w:eastAsia="en-US"/>
        </w:rPr>
        <w:t>%.</w:t>
      </w:r>
    </w:p>
    <w:p w14:paraId="1C6B5FED" w14:textId="5F87A5CF" w:rsidR="00AF7B90" w:rsidRPr="004B58BD" w:rsidRDefault="00AF7B90" w:rsidP="00AF7B90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B58BD"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Сфера услуг 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>по-прежнему занимает доминирующую долю в структуре ВВП, обеспечив наибольший вклад в экономический рост. По итогам за январь-</w:t>
      </w:r>
      <w:r w:rsidR="00287BA0" w:rsidRPr="004B58BD">
        <w:rPr>
          <w:rFonts w:eastAsiaTheme="minorHAnsi"/>
          <w:color w:val="000000" w:themeColor="text1"/>
          <w:sz w:val="24"/>
          <w:szCs w:val="24"/>
          <w:lang w:eastAsia="en-US"/>
        </w:rPr>
        <w:t>июл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ь 2025 года объем продукции сферы услуг </w:t>
      </w:r>
      <w:r w:rsidR="001B7631"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составил </w:t>
      </w:r>
      <w:r w:rsidR="0043707D" w:rsidRPr="004B58BD">
        <w:rPr>
          <w:rFonts w:eastAsiaTheme="minorHAnsi"/>
          <w:color w:val="000000" w:themeColor="text1"/>
          <w:sz w:val="24"/>
          <w:szCs w:val="24"/>
          <w:lang w:eastAsia="en-US"/>
        </w:rPr>
        <w:t>676,8</w:t>
      </w:r>
      <w:r w:rsidR="001B7631"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 млрд сом, 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по сравнению с соответствующим периодом 2024 </w:t>
      </w:r>
      <w:r w:rsidR="0093169E" w:rsidRPr="004B58BD">
        <w:rPr>
          <w:rFonts w:eastAsiaTheme="minorHAnsi"/>
          <w:color w:val="000000" w:themeColor="text1"/>
          <w:sz w:val="24"/>
          <w:szCs w:val="24"/>
          <w:lang w:eastAsia="en-US"/>
        </w:rPr>
        <w:t>года увеличился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 на </w:t>
      </w:r>
      <w:r w:rsidRPr="00BC53E0"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>10,</w:t>
      </w:r>
      <w:r w:rsidR="0043707D" w:rsidRPr="00BC53E0"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>3</w:t>
      </w:r>
      <w:r w:rsidRPr="00BC53E0"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 %.</w:t>
      </w:r>
    </w:p>
    <w:p w14:paraId="5E4BD0D3" w14:textId="5DC50B5B" w:rsidR="00AF7B90" w:rsidRPr="004B58BD" w:rsidRDefault="00AF7B90" w:rsidP="00AF7B90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>Высокий рост в сфере услуг обусловлен увеличением</w:t>
      </w:r>
      <w:r w:rsidR="00D271C8" w:rsidRPr="00D271C8">
        <w:rPr>
          <w:rFonts w:eastAsiaTheme="minorHAnsi"/>
          <w:color w:val="000000" w:themeColor="text1"/>
          <w:sz w:val="24"/>
          <w:szCs w:val="24"/>
          <w:lang w:eastAsia="en-US"/>
        </w:rPr>
        <w:t xml:space="preserve"> объемов кредитования</w:t>
      </w:r>
      <w:r w:rsidR="00D271C8">
        <w:rPr>
          <w:rFonts w:eastAsiaTheme="minorHAnsi"/>
          <w:color w:val="000000" w:themeColor="text1"/>
          <w:sz w:val="24"/>
          <w:szCs w:val="24"/>
          <w:lang w:eastAsia="en-US"/>
        </w:rPr>
        <w:t xml:space="preserve"> (</w:t>
      </w:r>
      <w:r w:rsidR="00D271C8" w:rsidRPr="00D271C8">
        <w:rPr>
          <w:rFonts w:eastAsiaTheme="minorHAnsi"/>
          <w:color w:val="000000" w:themeColor="text1"/>
          <w:sz w:val="24"/>
          <w:szCs w:val="24"/>
          <w:lang w:eastAsia="en-US"/>
        </w:rPr>
        <w:t>за январь–</w:t>
      </w:r>
      <w:r w:rsidR="00EF0C74">
        <w:rPr>
          <w:rFonts w:eastAsiaTheme="minorHAnsi"/>
          <w:color w:val="000000" w:themeColor="text1"/>
          <w:sz w:val="24"/>
          <w:szCs w:val="24"/>
          <w:lang w:eastAsia="en-US"/>
        </w:rPr>
        <w:t>июнь</w:t>
      </w:r>
      <w:r w:rsidR="00D271C8" w:rsidRPr="00D271C8">
        <w:rPr>
          <w:rFonts w:eastAsiaTheme="minorHAnsi"/>
          <w:color w:val="000000" w:themeColor="text1"/>
          <w:sz w:val="24"/>
          <w:szCs w:val="24"/>
          <w:lang w:eastAsia="en-US"/>
        </w:rPr>
        <w:t xml:space="preserve"> 2025 года объем потребительских кредитов вырос на 3</w:t>
      </w:r>
      <w:r w:rsidR="00EF0C74">
        <w:rPr>
          <w:rFonts w:eastAsiaTheme="minorHAnsi"/>
          <w:color w:val="000000" w:themeColor="text1"/>
          <w:sz w:val="24"/>
          <w:szCs w:val="24"/>
          <w:lang w:eastAsia="en-US"/>
        </w:rPr>
        <w:t>7,9</w:t>
      </w:r>
      <w:r w:rsidR="00D271C8" w:rsidRPr="00D271C8">
        <w:rPr>
          <w:rFonts w:eastAsiaTheme="minorHAnsi"/>
          <w:color w:val="000000" w:themeColor="text1"/>
          <w:sz w:val="24"/>
          <w:szCs w:val="24"/>
          <w:lang w:eastAsia="en-US"/>
        </w:rPr>
        <w:t> %</w:t>
      </w:r>
      <w:r w:rsidR="00D271C8">
        <w:rPr>
          <w:rFonts w:eastAsiaTheme="minorHAnsi"/>
          <w:color w:val="000000" w:themeColor="text1"/>
          <w:sz w:val="24"/>
          <w:szCs w:val="24"/>
          <w:lang w:eastAsia="en-US"/>
        </w:rPr>
        <w:t>)</w:t>
      </w:r>
      <w:r w:rsidR="00D271C8" w:rsidRPr="00D271C8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 доходов населения (номинальный размер среднемесячной заработной платы за январь-</w:t>
      </w:r>
      <w:r w:rsidR="003778CF"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июнь 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>2025 года вырос на 19,</w:t>
      </w:r>
      <w:r w:rsidR="003F7A05" w:rsidRPr="004B58BD">
        <w:rPr>
          <w:rFonts w:eastAsiaTheme="minorHAnsi"/>
          <w:color w:val="000000" w:themeColor="text1"/>
          <w:sz w:val="24"/>
          <w:szCs w:val="24"/>
          <w:lang w:eastAsia="en-US"/>
        </w:rPr>
        <w:t>6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 %; за январь-</w:t>
      </w:r>
      <w:r w:rsidR="00287BA0" w:rsidRPr="004B58BD">
        <w:rPr>
          <w:rFonts w:eastAsiaTheme="minorHAnsi"/>
          <w:color w:val="000000" w:themeColor="text1"/>
          <w:sz w:val="24"/>
          <w:szCs w:val="24"/>
          <w:lang w:eastAsia="en-US"/>
        </w:rPr>
        <w:t>июл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>ь 2025 года средний размер пенсии увеличился почти на 1</w:t>
      </w:r>
      <w:r w:rsidR="00B737A9" w:rsidRPr="004B58BD">
        <w:rPr>
          <w:rFonts w:eastAsiaTheme="minorHAnsi"/>
          <w:color w:val="000000" w:themeColor="text1"/>
          <w:sz w:val="24"/>
          <w:szCs w:val="24"/>
          <w:lang w:eastAsia="en-US"/>
        </w:rPr>
        <w:t>4,</w:t>
      </w:r>
      <w:r w:rsidR="0043707D" w:rsidRPr="004B58BD">
        <w:rPr>
          <w:rFonts w:eastAsiaTheme="minorHAnsi"/>
          <w:color w:val="000000" w:themeColor="text1"/>
          <w:sz w:val="24"/>
          <w:szCs w:val="24"/>
          <w:lang w:eastAsia="en-US"/>
        </w:rPr>
        <w:t>2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 % по сравнению с соответствующим периодом 2024 года</w:t>
      </w:r>
      <w:r w:rsidR="00A72977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A72977" w:rsidRPr="00A72977">
        <w:t xml:space="preserve"> </w:t>
      </w:r>
      <w:r w:rsidR="00A72977" w:rsidRPr="00A72977">
        <w:rPr>
          <w:rFonts w:eastAsiaTheme="minorHAnsi"/>
          <w:color w:val="000000" w:themeColor="text1"/>
          <w:sz w:val="24"/>
          <w:szCs w:val="24"/>
          <w:lang w:eastAsia="en-US"/>
        </w:rPr>
        <w:t>чистый приток трансграничных денежных переводов физических лиц в январе-июне 2025 года увеличился на 26,1 % по сравнению с соответствующим периодом 2024 года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>).</w:t>
      </w:r>
    </w:p>
    <w:p w14:paraId="1D9724AB" w14:textId="4D94F535" w:rsidR="00AF7B90" w:rsidRPr="004B58BD" w:rsidRDefault="00AF7B90" w:rsidP="00AF7B90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Наибольшую долю в структуре отраслей экономики, оказывающих услуги, занимают оптовая и розничная торговля – </w:t>
      </w:r>
      <w:r w:rsidR="0043707D" w:rsidRPr="004B58BD">
        <w:rPr>
          <w:rFonts w:eastAsiaTheme="minorHAnsi"/>
          <w:color w:val="000000" w:themeColor="text1"/>
          <w:sz w:val="24"/>
          <w:szCs w:val="24"/>
          <w:lang w:eastAsia="en-US"/>
        </w:rPr>
        <w:t>30,9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 %, услуги транспортной деятельности и хранения грузов – 9,</w:t>
      </w:r>
      <w:r w:rsidR="0043707D" w:rsidRPr="004B58BD">
        <w:rPr>
          <w:rFonts w:eastAsiaTheme="minorHAnsi"/>
          <w:color w:val="000000" w:themeColor="text1"/>
          <w:sz w:val="24"/>
          <w:szCs w:val="24"/>
          <w:lang w:eastAsia="en-US"/>
        </w:rPr>
        <w:t>4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 % и услуги финансового посредничества и страхования – 10,</w:t>
      </w:r>
      <w:r w:rsidR="0043707D" w:rsidRPr="004B58BD">
        <w:rPr>
          <w:rFonts w:eastAsiaTheme="minorHAnsi"/>
          <w:color w:val="000000" w:themeColor="text1"/>
          <w:sz w:val="24"/>
          <w:szCs w:val="24"/>
          <w:lang w:eastAsia="en-US"/>
        </w:rPr>
        <w:t>2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 %.</w:t>
      </w:r>
    </w:p>
    <w:p w14:paraId="4A666AD2" w14:textId="114B0F9D" w:rsidR="00AF7B90" w:rsidRPr="004B58BD" w:rsidRDefault="00AF7B90" w:rsidP="00AF7B90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>Объем оборота оптовой и розничной торговли, ремонта автомобилей и мотоциклов за январь-</w:t>
      </w:r>
      <w:r w:rsidR="00287BA0" w:rsidRPr="004B58BD">
        <w:rPr>
          <w:rFonts w:eastAsiaTheme="minorHAnsi"/>
          <w:color w:val="000000" w:themeColor="text1"/>
          <w:sz w:val="24"/>
          <w:szCs w:val="24"/>
          <w:lang w:eastAsia="en-US"/>
        </w:rPr>
        <w:t>июл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ь 2025 года составил в сумме </w:t>
      </w:r>
      <w:r w:rsidR="0043707D" w:rsidRPr="004B58BD">
        <w:rPr>
          <w:rFonts w:eastAsiaTheme="minorHAnsi"/>
          <w:color w:val="000000" w:themeColor="text1"/>
          <w:sz w:val="24"/>
          <w:szCs w:val="24"/>
          <w:lang w:eastAsia="en-US"/>
        </w:rPr>
        <w:t>209,0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 млрд сомов, с темпом роста                                      11</w:t>
      </w:r>
      <w:r w:rsidR="0043707D" w:rsidRPr="004B58BD">
        <w:rPr>
          <w:rFonts w:eastAsiaTheme="minorHAnsi"/>
          <w:color w:val="000000" w:themeColor="text1"/>
          <w:sz w:val="24"/>
          <w:szCs w:val="24"/>
          <w:lang w:eastAsia="en-US"/>
        </w:rPr>
        <w:t>9,5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 %.</w:t>
      </w:r>
      <w:r w:rsidR="00AF3B2E"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3778CF" w:rsidRPr="004B58BD">
        <w:rPr>
          <w:rFonts w:eastAsiaTheme="minorHAnsi"/>
          <w:color w:val="000000" w:themeColor="text1"/>
          <w:sz w:val="24"/>
          <w:szCs w:val="24"/>
          <w:lang w:eastAsia="en-US"/>
        </w:rPr>
        <w:t>Увеличение оборота оптовой и розничной торговли, ремонта автомобилей и мотоциклов по сравнению с январем-июлем 2024 года обеспечено, в основном, ростом объемов оптовой (на 2,2 %) и розничной (на 22,8 %) торговли.</w:t>
      </w:r>
    </w:p>
    <w:p w14:paraId="561CC4B1" w14:textId="26BDD20B" w:rsidR="00AF7B90" w:rsidRPr="004B58BD" w:rsidRDefault="00AF7B90" w:rsidP="00AF7B90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>Объем услуг транспортной деятельности и хранение грузов за январь-</w:t>
      </w:r>
      <w:r w:rsidR="00287BA0" w:rsidRPr="004B58BD">
        <w:rPr>
          <w:rFonts w:eastAsiaTheme="minorHAnsi"/>
          <w:color w:val="000000" w:themeColor="text1"/>
          <w:sz w:val="24"/>
          <w:szCs w:val="24"/>
          <w:lang w:eastAsia="en-US"/>
        </w:rPr>
        <w:t>июл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ь 2025 года сложился в сумме </w:t>
      </w:r>
      <w:r w:rsidR="0043707D" w:rsidRPr="004B58BD">
        <w:rPr>
          <w:rFonts w:eastAsiaTheme="minorHAnsi"/>
          <w:color w:val="000000" w:themeColor="text1"/>
          <w:sz w:val="24"/>
          <w:szCs w:val="24"/>
          <w:lang w:eastAsia="en-US"/>
        </w:rPr>
        <w:t>63,3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 млрд сомов и увеличился на </w:t>
      </w:r>
      <w:r w:rsidR="0043707D" w:rsidRPr="004B58BD">
        <w:rPr>
          <w:rFonts w:eastAsiaTheme="minorHAnsi"/>
          <w:color w:val="000000" w:themeColor="text1"/>
          <w:sz w:val="24"/>
          <w:szCs w:val="24"/>
          <w:lang w:eastAsia="en-US"/>
        </w:rPr>
        <w:t>7,3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 %. Всеми видами транспорта перевезено </w:t>
      </w:r>
      <w:r w:rsidR="003778CF" w:rsidRPr="004B58BD">
        <w:rPr>
          <w:rFonts w:eastAsiaTheme="minorHAnsi"/>
          <w:color w:val="000000" w:themeColor="text1"/>
          <w:sz w:val="24"/>
          <w:szCs w:val="24"/>
          <w:lang w:eastAsia="en-US"/>
        </w:rPr>
        <w:t>31,6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 млн тонн различных грузов, что на 1</w:t>
      </w:r>
      <w:r w:rsidR="003778CF" w:rsidRPr="004B58BD">
        <w:rPr>
          <w:rFonts w:eastAsiaTheme="minorHAnsi"/>
          <w:color w:val="000000" w:themeColor="text1"/>
          <w:sz w:val="24"/>
          <w:szCs w:val="24"/>
          <w:lang w:eastAsia="en-US"/>
        </w:rPr>
        <w:t>1,6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 % больше по сравнению с соответствующим периодом 2024 года. Также перевозчиками республики перевезено 3</w:t>
      </w:r>
      <w:r w:rsidR="003778CF" w:rsidRPr="004B58BD">
        <w:rPr>
          <w:rFonts w:eastAsiaTheme="minorHAnsi"/>
          <w:color w:val="000000" w:themeColor="text1"/>
          <w:sz w:val="24"/>
          <w:szCs w:val="24"/>
          <w:lang w:eastAsia="en-US"/>
        </w:rPr>
        <w:t>54,7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 млн пассажиров, что на </w:t>
      </w:r>
      <w:r w:rsidR="003778CF" w:rsidRPr="004B58BD">
        <w:rPr>
          <w:rFonts w:eastAsiaTheme="minorHAnsi"/>
          <w:color w:val="000000" w:themeColor="text1"/>
          <w:sz w:val="24"/>
          <w:szCs w:val="24"/>
          <w:lang w:eastAsia="en-US"/>
        </w:rPr>
        <w:t>8,9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 % больше, чем за соответствующий период 2024 года.</w:t>
      </w:r>
    </w:p>
    <w:p w14:paraId="28B2A24E" w14:textId="5347E973" w:rsidR="00AF7B90" w:rsidRPr="004B58BD" w:rsidRDefault="00AF7B90" w:rsidP="00AF7B90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>По сравнению с январем-</w:t>
      </w:r>
      <w:r w:rsidR="00287BA0" w:rsidRPr="004B58BD">
        <w:rPr>
          <w:rFonts w:eastAsiaTheme="minorHAnsi"/>
          <w:color w:val="000000" w:themeColor="text1"/>
          <w:sz w:val="24"/>
          <w:szCs w:val="24"/>
          <w:lang w:eastAsia="en-US"/>
        </w:rPr>
        <w:t>июл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ем 2024 года объем услуг, оказанных гостиницами и ресторанами, увеличился на </w:t>
      </w:r>
      <w:r w:rsidR="0043707D" w:rsidRPr="004B58BD">
        <w:rPr>
          <w:rFonts w:eastAsiaTheme="minorHAnsi"/>
          <w:color w:val="000000" w:themeColor="text1"/>
          <w:sz w:val="24"/>
          <w:szCs w:val="24"/>
          <w:lang w:eastAsia="en-US"/>
        </w:rPr>
        <w:t>28,9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 % и составил </w:t>
      </w:r>
      <w:r w:rsidR="0043707D" w:rsidRPr="004B58BD">
        <w:rPr>
          <w:rFonts w:eastAsiaTheme="minorHAnsi"/>
          <w:color w:val="000000" w:themeColor="text1"/>
          <w:sz w:val="24"/>
          <w:szCs w:val="24"/>
          <w:lang w:eastAsia="en-US"/>
        </w:rPr>
        <w:t>27,3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 млрд сомов. </w:t>
      </w:r>
    </w:p>
    <w:p w14:paraId="6809424E" w14:textId="3CCADB29" w:rsidR="00AF7B90" w:rsidRPr="004B58BD" w:rsidRDefault="00AF7B90" w:rsidP="00AF7B90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Валовый объем услуг информации и связи за отчетный период составил </w:t>
      </w:r>
      <w:r w:rsidR="0043707D" w:rsidRPr="004B58BD">
        <w:rPr>
          <w:rFonts w:eastAsiaTheme="minorHAnsi"/>
          <w:color w:val="000000" w:themeColor="text1"/>
          <w:sz w:val="24"/>
          <w:szCs w:val="24"/>
          <w:lang w:eastAsia="en-US"/>
        </w:rPr>
        <w:t>35,0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 млрд сомов с темпом роста 106,</w:t>
      </w:r>
      <w:r w:rsidR="0043707D" w:rsidRPr="004B58BD">
        <w:rPr>
          <w:rFonts w:eastAsiaTheme="minorHAnsi"/>
          <w:color w:val="000000" w:themeColor="text1"/>
          <w:sz w:val="24"/>
          <w:szCs w:val="24"/>
          <w:lang w:eastAsia="en-US"/>
        </w:rPr>
        <w:t>2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 %. </w:t>
      </w:r>
    </w:p>
    <w:p w14:paraId="46419E7A" w14:textId="73039CE8" w:rsidR="00AF7B90" w:rsidRPr="004B58BD" w:rsidRDefault="00AF7B90" w:rsidP="00AF7B90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>Вклад сферы услуг в формирование ВВП оценивается на уровне 5,</w:t>
      </w:r>
      <w:r w:rsidR="0043707D"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15 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>процентных пункта, а удельный вес в структуре производства ВВП составил 5</w:t>
      </w:r>
      <w:r w:rsidR="0043707D" w:rsidRPr="004B58BD">
        <w:rPr>
          <w:rFonts w:eastAsiaTheme="minorHAnsi"/>
          <w:color w:val="000000" w:themeColor="text1"/>
          <w:sz w:val="24"/>
          <w:szCs w:val="24"/>
          <w:lang w:eastAsia="en-US"/>
        </w:rPr>
        <w:t>1,1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 %. </w:t>
      </w:r>
    </w:p>
    <w:p w14:paraId="31700989" w14:textId="77777777" w:rsidR="003F7A05" w:rsidRPr="004B58BD" w:rsidRDefault="003F7A05" w:rsidP="003F7A05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bookmarkStart w:id="1" w:name="_Hlk200966797"/>
      <w:r w:rsidRPr="004B58BD">
        <w:rPr>
          <w:rFonts w:eastAsia="Calibri"/>
          <w:b/>
          <w:bCs/>
          <w:sz w:val="24"/>
          <w:szCs w:val="24"/>
          <w:lang w:eastAsia="en-US"/>
        </w:rPr>
        <w:t xml:space="preserve">Индекс потребительских цен, </w:t>
      </w:r>
      <w:r w:rsidRPr="004B58BD">
        <w:rPr>
          <w:rFonts w:eastAsia="Calibri"/>
          <w:bCs/>
          <w:sz w:val="24"/>
          <w:szCs w:val="24"/>
          <w:lang w:eastAsia="en-US"/>
        </w:rPr>
        <w:t xml:space="preserve">характеризующий уровень инфляции, составил </w:t>
      </w:r>
      <w:r w:rsidRPr="004B58BD">
        <w:rPr>
          <w:rFonts w:eastAsia="Calibri"/>
          <w:b/>
          <w:bCs/>
          <w:sz w:val="24"/>
          <w:szCs w:val="24"/>
          <w:lang w:eastAsia="en-US"/>
        </w:rPr>
        <w:t>104,7 %</w:t>
      </w:r>
      <w:r w:rsidRPr="004B58BD">
        <w:rPr>
          <w:rFonts w:eastAsia="Calibri"/>
          <w:bCs/>
          <w:sz w:val="24"/>
          <w:szCs w:val="24"/>
          <w:lang w:eastAsia="en-US"/>
        </w:rPr>
        <w:t xml:space="preserve"> (июль 2025 года к декабрю предыдущего года). Среднегодовое значение инфляции (январь-июль 2025 года к январю-июлю 2024 года) составило </w:t>
      </w:r>
      <w:r w:rsidRPr="004B58BD">
        <w:rPr>
          <w:rFonts w:eastAsia="Calibri"/>
          <w:b/>
          <w:sz w:val="24"/>
          <w:szCs w:val="24"/>
          <w:lang w:eastAsia="en-US"/>
        </w:rPr>
        <w:t>108,8</w:t>
      </w:r>
      <w:r w:rsidRPr="004B58BD">
        <w:rPr>
          <w:rFonts w:eastAsia="Calibri"/>
          <w:bCs/>
          <w:sz w:val="24"/>
          <w:szCs w:val="24"/>
          <w:lang w:eastAsia="en-US"/>
        </w:rPr>
        <w:t> </w:t>
      </w:r>
      <w:r w:rsidRPr="004B58BD">
        <w:rPr>
          <w:rFonts w:eastAsia="Calibri"/>
          <w:b/>
          <w:sz w:val="24"/>
          <w:szCs w:val="24"/>
          <w:lang w:eastAsia="en-US"/>
        </w:rPr>
        <w:t>%.</w:t>
      </w:r>
      <w:r w:rsidRPr="004B58BD">
        <w:rPr>
          <w:rFonts w:eastAsia="Calibri"/>
          <w:bCs/>
          <w:sz w:val="24"/>
          <w:szCs w:val="24"/>
          <w:lang w:eastAsia="en-US"/>
        </w:rPr>
        <w:t xml:space="preserve"> </w:t>
      </w:r>
    </w:p>
    <w:p w14:paraId="322A92AE" w14:textId="77777777" w:rsidR="003F7A05" w:rsidRPr="004B58BD" w:rsidRDefault="003F7A05" w:rsidP="003F7A05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4B58BD">
        <w:rPr>
          <w:rFonts w:eastAsia="Calibri"/>
          <w:bCs/>
          <w:sz w:val="24"/>
          <w:szCs w:val="24"/>
          <w:lang w:eastAsia="en-US"/>
        </w:rPr>
        <w:t>При этом, цены на пищевые продукты и безалкогольные напитки повысились на 6,7 %, алкогольные напитки и табачные изделия – на 4,2 %, непродовольственные товары – на 2,5 % и тарифы на услуги, оказываемые населению – на 2,7 %.</w:t>
      </w:r>
    </w:p>
    <w:p w14:paraId="2649E2BF" w14:textId="77777777" w:rsidR="003F7A05" w:rsidRPr="004B58BD" w:rsidRDefault="003F7A05" w:rsidP="003F7A05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4B58BD">
        <w:rPr>
          <w:rFonts w:eastAsia="Calibri"/>
          <w:bCs/>
          <w:sz w:val="24"/>
          <w:szCs w:val="24"/>
          <w:lang w:eastAsia="en-US"/>
        </w:rPr>
        <w:t xml:space="preserve">В наибольшей мере за этот период повысились цены на свежие фрукты (на 30,8 %), картофель (на 28,6 %), рыбу свежую (на 17,1 %), свежие овощи (на 16,9 %), растительные масла (на 10,8 %), свежее мясо (на 8,6 %), в том числе на баранину (на 15,2 %), конину (на 8,4 %), говядину (на 7,9 %), муку (на 3,7 %), масло сливочное (на 3,3 %) и сахар </w:t>
      </w:r>
      <w:r w:rsidRPr="004B58BD">
        <w:rPr>
          <w:rFonts w:eastAsia="Calibri"/>
          <w:bCs/>
          <w:sz w:val="24"/>
          <w:szCs w:val="24"/>
          <w:lang w:eastAsia="en-US"/>
        </w:rPr>
        <w:br/>
        <w:t>(на 1,2 %).</w:t>
      </w:r>
    </w:p>
    <w:p w14:paraId="7B8C8270" w14:textId="7948BE6E" w:rsidR="003F7A05" w:rsidRPr="004B58BD" w:rsidRDefault="003F7A05" w:rsidP="003F7A05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4B58BD">
        <w:rPr>
          <w:rFonts w:eastAsia="Calibri"/>
          <w:bCs/>
          <w:sz w:val="24"/>
          <w:szCs w:val="24"/>
          <w:lang w:eastAsia="en-US"/>
        </w:rPr>
        <w:t>Наряду с этим</w:t>
      </w:r>
      <w:r w:rsidR="000D1DEA" w:rsidRPr="000D1DEA">
        <w:t xml:space="preserve"> </w:t>
      </w:r>
      <w:r w:rsidR="000D1DEA" w:rsidRPr="000D1DEA">
        <w:rPr>
          <w:rFonts w:eastAsia="Calibri"/>
          <w:bCs/>
          <w:sz w:val="24"/>
          <w:szCs w:val="24"/>
          <w:lang w:eastAsia="en-US"/>
        </w:rPr>
        <w:t>сезонное повышение цен на фрукты и овощи компенсировала дефляция в некоторых категориях продовольственных товаров:</w:t>
      </w:r>
      <w:r w:rsidRPr="004B58BD">
        <w:rPr>
          <w:rFonts w:eastAsia="Calibri"/>
          <w:bCs/>
          <w:sz w:val="24"/>
          <w:szCs w:val="24"/>
          <w:lang w:eastAsia="en-US"/>
        </w:rPr>
        <w:t xml:space="preserve"> зафиксировано снижение цен на яйца куриные (на 13,7 %), молоко разливное (на 7,9 %), животные жиры (на 3,8 %) и рис (на 0,8 %).</w:t>
      </w:r>
    </w:p>
    <w:p w14:paraId="0F8742B0" w14:textId="77777777" w:rsidR="006A4EE3" w:rsidRDefault="006A4EE3" w:rsidP="006A4EE3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32262C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Ценовая динамика в 2025 году отражает нарастающее давление как со стороны внутреннего спроса, так и внешних факторов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B60269">
        <w:rPr>
          <w:rFonts w:eastAsiaTheme="minorHAnsi"/>
          <w:color w:val="000000" w:themeColor="text1"/>
          <w:sz w:val="24"/>
          <w:szCs w:val="24"/>
          <w:lang w:eastAsia="en-US"/>
        </w:rPr>
        <w:t>(глобальная продовольственная инфляция, рост мировых цен на логистику)</w:t>
      </w:r>
      <w:r w:rsidRPr="0032262C">
        <w:rPr>
          <w:rFonts w:eastAsiaTheme="minorHAnsi"/>
          <w:color w:val="000000" w:themeColor="text1"/>
          <w:sz w:val="24"/>
          <w:szCs w:val="24"/>
          <w:lang w:eastAsia="en-US"/>
        </w:rPr>
        <w:t xml:space="preserve">. </w:t>
      </w:r>
    </w:p>
    <w:p w14:paraId="1C8F500F" w14:textId="67D57EEE" w:rsidR="003F7A05" w:rsidRDefault="003F7A05" w:rsidP="003F7A05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4B58BD">
        <w:rPr>
          <w:rFonts w:eastAsia="Calibri"/>
          <w:bCs/>
          <w:sz w:val="24"/>
          <w:szCs w:val="24"/>
          <w:lang w:eastAsia="en-US"/>
        </w:rPr>
        <w:t>На формирование цен повлияли следующие факторы:</w:t>
      </w:r>
    </w:p>
    <w:p w14:paraId="57FBA65D" w14:textId="77777777" w:rsidR="006A4EE3" w:rsidRDefault="006A4EE3" w:rsidP="006A4EE3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C252E">
        <w:rPr>
          <w:rFonts w:eastAsiaTheme="minorHAnsi"/>
          <w:color w:val="000000" w:themeColor="text1"/>
          <w:sz w:val="24"/>
          <w:szCs w:val="24"/>
          <w:lang w:eastAsia="en-US"/>
        </w:rPr>
        <w:t>- рост цен на продукты питания, в основном обусловлен сезонными колебаниями цен на продовольственные товары (фрукты, овощи)</w:t>
      </w:r>
      <w:r w:rsidRPr="00E73F77">
        <w:rPr>
          <w:rFonts w:eastAsiaTheme="minorHAnsi"/>
          <w:color w:val="000000" w:themeColor="text1"/>
          <w:sz w:val="24"/>
          <w:szCs w:val="24"/>
          <w:lang w:eastAsia="en-US"/>
        </w:rPr>
        <w:t>: весенне-летний переходный период традиционно характеризуется истощением запасов прошлогоднего урожая при еще не начавшихся поставках нового, что особенно затрагивает сегмент скоропортящихся овощей, фруктов и зелени, вызывая временный дисбаланс между спросом и предложением;</w:t>
      </w:r>
    </w:p>
    <w:p w14:paraId="6C2A30A6" w14:textId="77777777" w:rsidR="006A4EE3" w:rsidRDefault="006A4EE3" w:rsidP="006A4EE3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- </w:t>
      </w:r>
      <w:r w:rsidRPr="006C252E">
        <w:rPr>
          <w:rFonts w:eastAsiaTheme="minorHAnsi"/>
          <w:color w:val="000000" w:themeColor="text1"/>
          <w:sz w:val="24"/>
          <w:szCs w:val="24"/>
          <w:lang w:eastAsia="en-US"/>
        </w:rPr>
        <w:t>зависимостью внутреннего рынка от импорта продовольственной группы товаров (мука, растительное масло, крупы и т.д.) и общемировой тенденцией (вследствие</w:t>
      </w:r>
      <w:r w:rsidRPr="005A78C1">
        <w:t xml:space="preserve"> </w:t>
      </w:r>
      <w:r w:rsidRPr="005A78C1">
        <w:rPr>
          <w:rFonts w:eastAsiaTheme="minorHAnsi"/>
          <w:color w:val="000000" w:themeColor="text1"/>
          <w:sz w:val="24"/>
          <w:szCs w:val="24"/>
          <w:lang w:eastAsia="en-US"/>
        </w:rPr>
        <w:t>повышени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я</w:t>
      </w:r>
      <w:r w:rsidRPr="005A78C1">
        <w:rPr>
          <w:rFonts w:eastAsiaTheme="minorHAnsi"/>
          <w:color w:val="000000" w:themeColor="text1"/>
          <w:sz w:val="24"/>
          <w:szCs w:val="24"/>
          <w:lang w:eastAsia="en-US"/>
        </w:rPr>
        <w:t xml:space="preserve"> котировок</w:t>
      </w:r>
      <w:r w:rsidRPr="006C252E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на растительное масло, мяса, сахара, </w:t>
      </w:r>
      <w:r w:rsidRPr="009F2B50">
        <w:rPr>
          <w:rFonts w:eastAsiaTheme="minorHAnsi"/>
          <w:color w:val="000000" w:themeColor="text1"/>
          <w:sz w:val="24"/>
          <w:szCs w:val="24"/>
          <w:lang w:eastAsia="en-US"/>
        </w:rPr>
        <w:t>подкрепленные высоким импортным спросом</w:t>
      </w:r>
      <w:r w:rsidRPr="006C252E">
        <w:rPr>
          <w:rFonts w:eastAsiaTheme="minorHAnsi"/>
          <w:color w:val="000000" w:themeColor="text1"/>
          <w:sz w:val="24"/>
          <w:szCs w:val="24"/>
          <w:lang w:eastAsia="en-US"/>
        </w:rPr>
        <w:t>)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. </w:t>
      </w:r>
      <w:r w:rsidRPr="0045452D">
        <w:rPr>
          <w:rFonts w:eastAsiaTheme="minorHAnsi"/>
          <w:color w:val="000000" w:themeColor="text1"/>
          <w:sz w:val="24"/>
          <w:szCs w:val="24"/>
          <w:lang w:eastAsia="en-US"/>
        </w:rPr>
        <w:t xml:space="preserve">Среднее значение Индекса продовольственных цен ФАО (ИПЦФ) в июле 2025 года составило 130,1 пункта, что на 2,1 пункта (1,6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%</w:t>
      </w:r>
      <w:r w:rsidRPr="0045452D">
        <w:rPr>
          <w:rFonts w:eastAsiaTheme="minorHAnsi"/>
          <w:color w:val="000000" w:themeColor="text1"/>
          <w:sz w:val="24"/>
          <w:szCs w:val="24"/>
          <w:lang w:eastAsia="en-US"/>
        </w:rPr>
        <w:t xml:space="preserve">) выше уровня июня. Рост значения индексов цен на мясо и растительные масла нивелировал снижение значений индексов цен на зерновые, молочную продукцию. В целом значение ИПЦФ оказалось на 9,2 пункта (7,6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%</w:t>
      </w:r>
      <w:r w:rsidRPr="0045452D">
        <w:rPr>
          <w:rFonts w:eastAsiaTheme="minorHAnsi"/>
          <w:color w:val="000000" w:themeColor="text1"/>
          <w:sz w:val="24"/>
          <w:szCs w:val="24"/>
          <w:lang w:eastAsia="en-US"/>
        </w:rPr>
        <w:t>) выше показателя июля 2024 года.</w:t>
      </w:r>
    </w:p>
    <w:p w14:paraId="29993B9B" w14:textId="77777777" w:rsidR="006A4EE3" w:rsidRPr="006C252E" w:rsidRDefault="006A4EE3" w:rsidP="006A4EE3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C252E">
        <w:rPr>
          <w:rFonts w:eastAsiaTheme="minorHAnsi"/>
          <w:color w:val="000000" w:themeColor="text1"/>
          <w:sz w:val="24"/>
          <w:szCs w:val="24"/>
          <w:lang w:eastAsia="en-US"/>
        </w:rPr>
        <w:t>- повышение основного тарифа на электроэнергию (+23,6 %, свыше 700 кВт. час (+8,2 %) вызвало рост цен в коммунальном секторе и производственных цепочках (+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7,1</w:t>
      </w:r>
      <w:r w:rsidRPr="006C252E">
        <w:rPr>
          <w:rFonts w:eastAsiaTheme="minorHAnsi"/>
          <w:color w:val="000000" w:themeColor="text1"/>
          <w:sz w:val="24"/>
          <w:szCs w:val="24"/>
          <w:lang w:eastAsia="en-US"/>
        </w:rPr>
        <w:t xml:space="preserve"> % в ЖКУ); </w:t>
      </w:r>
    </w:p>
    <w:p w14:paraId="769060FA" w14:textId="77777777" w:rsidR="006A4EE3" w:rsidRDefault="006A4EE3" w:rsidP="006A4EE3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C252E">
        <w:rPr>
          <w:rFonts w:eastAsiaTheme="minorHAnsi"/>
          <w:color w:val="000000" w:themeColor="text1"/>
          <w:sz w:val="24"/>
          <w:szCs w:val="24"/>
          <w:lang w:eastAsia="en-US"/>
        </w:rPr>
        <w:t xml:space="preserve">- </w:t>
      </w:r>
      <w:r w:rsidRPr="001F50FB">
        <w:rPr>
          <w:rFonts w:eastAsiaTheme="minorHAnsi"/>
          <w:color w:val="000000" w:themeColor="text1"/>
          <w:sz w:val="24"/>
          <w:szCs w:val="24"/>
          <w:lang w:eastAsia="en-US"/>
        </w:rPr>
        <w:t>опережающий рост денежных доходов населения прироста производительности труда (значительное увеличение номинальной и реальной заработной платы. Так, за 2024 год номинальный размер среднемесячной заработной платы вырос на 14,1 %, а реальный рост за 2024 год - на 8,6%, а в январе–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июне</w:t>
      </w:r>
      <w:r w:rsidRPr="001F50FB">
        <w:rPr>
          <w:rFonts w:eastAsiaTheme="minorHAnsi"/>
          <w:color w:val="000000" w:themeColor="text1"/>
          <w:sz w:val="24"/>
          <w:szCs w:val="24"/>
          <w:lang w:eastAsia="en-US"/>
        </w:rPr>
        <w:t xml:space="preserve"> 2025 года - на 19,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6</w:t>
      </w:r>
      <w:r w:rsidRPr="001F50FB">
        <w:rPr>
          <w:rFonts w:eastAsiaTheme="minorHAnsi"/>
          <w:color w:val="000000" w:themeColor="text1"/>
          <w:sz w:val="24"/>
          <w:szCs w:val="24"/>
          <w:lang w:eastAsia="en-US"/>
        </w:rPr>
        <w:t xml:space="preserve"> % по сравнению с аналогичным периодом 2024 года, а реальный рост за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6</w:t>
      </w:r>
      <w:r w:rsidRPr="001F50FB">
        <w:rPr>
          <w:rFonts w:eastAsiaTheme="minorHAnsi"/>
          <w:color w:val="000000" w:themeColor="text1"/>
          <w:sz w:val="24"/>
          <w:szCs w:val="24"/>
          <w:lang w:eastAsia="en-US"/>
        </w:rPr>
        <w:t xml:space="preserve"> месяцев 2025 года - на 11,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5</w:t>
      </w:r>
      <w:r w:rsidRPr="001F50FB">
        <w:rPr>
          <w:rFonts w:eastAsiaTheme="minorHAnsi"/>
          <w:color w:val="000000" w:themeColor="text1"/>
          <w:sz w:val="24"/>
          <w:szCs w:val="24"/>
          <w:lang w:eastAsia="en-US"/>
        </w:rPr>
        <w:t xml:space="preserve"> %,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чистый </w:t>
      </w:r>
      <w:r w:rsidRPr="001F50FB">
        <w:rPr>
          <w:rFonts w:eastAsiaTheme="minorHAnsi"/>
          <w:color w:val="000000" w:themeColor="text1"/>
          <w:sz w:val="24"/>
          <w:szCs w:val="24"/>
          <w:lang w:eastAsia="en-US"/>
        </w:rPr>
        <w:t xml:space="preserve">приток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т</w:t>
      </w:r>
      <w:r w:rsidRPr="00111958">
        <w:rPr>
          <w:rFonts w:eastAsiaTheme="minorHAnsi"/>
          <w:color w:val="000000" w:themeColor="text1"/>
          <w:sz w:val="24"/>
          <w:szCs w:val="24"/>
          <w:lang w:eastAsia="en-US"/>
        </w:rPr>
        <w:t>рансграничны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х</w:t>
      </w:r>
      <w:r w:rsidRPr="00111958">
        <w:rPr>
          <w:rFonts w:eastAsiaTheme="minorHAnsi"/>
          <w:color w:val="000000" w:themeColor="text1"/>
          <w:sz w:val="24"/>
          <w:szCs w:val="24"/>
          <w:lang w:eastAsia="en-US"/>
        </w:rPr>
        <w:t xml:space="preserve"> денежны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х</w:t>
      </w:r>
      <w:r w:rsidRPr="00111958">
        <w:rPr>
          <w:rFonts w:eastAsiaTheme="minorHAnsi"/>
          <w:color w:val="000000" w:themeColor="text1"/>
          <w:sz w:val="24"/>
          <w:szCs w:val="24"/>
          <w:lang w:eastAsia="en-US"/>
        </w:rPr>
        <w:t xml:space="preserve"> перевод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ов</w:t>
      </w:r>
      <w:r w:rsidRPr="00111958">
        <w:rPr>
          <w:rFonts w:eastAsiaTheme="minorHAnsi"/>
          <w:color w:val="000000" w:themeColor="text1"/>
          <w:sz w:val="24"/>
          <w:szCs w:val="24"/>
          <w:lang w:eastAsia="en-US"/>
        </w:rPr>
        <w:t xml:space="preserve"> физических лиц</w:t>
      </w:r>
      <w:r w:rsidRPr="001F50FB">
        <w:rPr>
          <w:rFonts w:eastAsiaTheme="minorHAnsi"/>
          <w:color w:val="000000" w:themeColor="text1"/>
          <w:sz w:val="24"/>
          <w:szCs w:val="24"/>
          <w:lang w:eastAsia="en-US"/>
        </w:rPr>
        <w:t xml:space="preserve"> в январе-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июне</w:t>
      </w:r>
      <w:r w:rsidRPr="001F50FB">
        <w:rPr>
          <w:rFonts w:eastAsiaTheme="minorHAnsi"/>
          <w:color w:val="000000" w:themeColor="text1"/>
          <w:sz w:val="24"/>
          <w:szCs w:val="24"/>
          <w:lang w:eastAsia="en-US"/>
        </w:rPr>
        <w:t xml:space="preserve"> 2025 года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увеличился </w:t>
      </w:r>
      <w:r w:rsidRPr="001F50FB">
        <w:rPr>
          <w:rFonts w:eastAsiaTheme="minorHAnsi"/>
          <w:color w:val="000000" w:themeColor="text1"/>
          <w:sz w:val="24"/>
          <w:szCs w:val="24"/>
          <w:lang w:eastAsia="en-US"/>
        </w:rPr>
        <w:t xml:space="preserve">на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2</w:t>
      </w:r>
      <w:r w:rsidRPr="001F50FB">
        <w:rPr>
          <w:rFonts w:eastAsiaTheme="minorHAnsi"/>
          <w:color w:val="000000" w:themeColor="text1"/>
          <w:sz w:val="24"/>
          <w:szCs w:val="24"/>
          <w:lang w:eastAsia="en-US"/>
        </w:rPr>
        <w:t>6,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1</w:t>
      </w:r>
      <w:r w:rsidRPr="001F50FB">
        <w:rPr>
          <w:rFonts w:eastAsiaTheme="minorHAnsi"/>
          <w:color w:val="000000" w:themeColor="text1"/>
          <w:sz w:val="24"/>
          <w:szCs w:val="24"/>
          <w:lang w:eastAsia="en-US"/>
        </w:rPr>
        <w:t xml:space="preserve"> % по сравнению с соответствующим периодом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2024</w:t>
      </w:r>
      <w:r w:rsidRPr="001F50FB">
        <w:rPr>
          <w:rFonts w:eastAsiaTheme="minorHAnsi"/>
          <w:color w:val="000000" w:themeColor="text1"/>
          <w:sz w:val="24"/>
          <w:szCs w:val="24"/>
          <w:lang w:eastAsia="en-US"/>
        </w:rPr>
        <w:t xml:space="preserve"> года);</w:t>
      </w:r>
    </w:p>
    <w:p w14:paraId="1BE55574" w14:textId="77777777" w:rsidR="006A4EE3" w:rsidRPr="00155BB1" w:rsidRDefault="006A4EE3" w:rsidP="006A4EE3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- </w:t>
      </w:r>
      <w:r w:rsidRPr="00155BB1">
        <w:rPr>
          <w:rFonts w:eastAsiaTheme="minorHAnsi"/>
          <w:color w:val="000000" w:themeColor="text1"/>
          <w:sz w:val="24"/>
          <w:szCs w:val="24"/>
          <w:lang w:eastAsia="en-US"/>
        </w:rPr>
        <w:t>удорожание логистики и импорта: повышение тарифов на ж/д перевозки в Казахстане (на +16 %, затем на +35 %), повышение НДС в РФ (с 20 % до 22 %);</w:t>
      </w:r>
    </w:p>
    <w:p w14:paraId="480BF5B8" w14:textId="77777777" w:rsidR="006A4EE3" w:rsidRDefault="006A4EE3" w:rsidP="006A4EE3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155BB1">
        <w:rPr>
          <w:rFonts w:eastAsiaTheme="minorHAnsi"/>
          <w:color w:val="000000" w:themeColor="text1"/>
          <w:sz w:val="24"/>
          <w:szCs w:val="24"/>
          <w:lang w:eastAsia="en-US"/>
        </w:rPr>
        <w:t>- рост цен на жилье и строительные материалы (+8–10 %) из-за повышения спроса, так и удорожанием строительных материалов (в том числе импортируемых);</w:t>
      </w:r>
    </w:p>
    <w:p w14:paraId="0DDE5EA0" w14:textId="4F7ADD44" w:rsidR="006A4EE3" w:rsidRDefault="006A4EE3" w:rsidP="006A4EE3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- </w:t>
      </w:r>
      <w:r w:rsidRPr="00513977">
        <w:rPr>
          <w:rFonts w:eastAsiaTheme="minorHAnsi"/>
          <w:color w:val="000000" w:themeColor="text1"/>
          <w:sz w:val="24"/>
          <w:szCs w:val="24"/>
          <w:lang w:eastAsia="en-US"/>
        </w:rPr>
        <w:t>рост объемов кредитования: за январь–</w:t>
      </w:r>
      <w:r w:rsidR="00001E34">
        <w:rPr>
          <w:rFonts w:eastAsiaTheme="minorHAnsi"/>
          <w:color w:val="000000" w:themeColor="text1"/>
          <w:sz w:val="24"/>
          <w:szCs w:val="24"/>
          <w:lang w:eastAsia="en-US"/>
        </w:rPr>
        <w:t>июнь</w:t>
      </w:r>
      <w:r w:rsidRPr="00513977">
        <w:rPr>
          <w:rFonts w:eastAsiaTheme="minorHAnsi"/>
          <w:color w:val="000000" w:themeColor="text1"/>
          <w:sz w:val="24"/>
          <w:szCs w:val="24"/>
          <w:lang w:eastAsia="en-US"/>
        </w:rPr>
        <w:t xml:space="preserve"> 2025 года объем потребительских кредитов вырос на 3</w:t>
      </w:r>
      <w:r w:rsidR="00001E34">
        <w:rPr>
          <w:rFonts w:eastAsiaTheme="minorHAnsi"/>
          <w:color w:val="000000" w:themeColor="text1"/>
          <w:sz w:val="24"/>
          <w:szCs w:val="24"/>
          <w:lang w:eastAsia="en-US"/>
        </w:rPr>
        <w:t>7,9</w:t>
      </w:r>
      <w:r w:rsidRPr="00513977">
        <w:rPr>
          <w:rFonts w:eastAsiaTheme="minorHAnsi"/>
          <w:color w:val="000000" w:themeColor="text1"/>
          <w:sz w:val="24"/>
          <w:szCs w:val="24"/>
          <w:lang w:eastAsia="en-US"/>
        </w:rPr>
        <w:t> %, а по сравнению с 2023 годом — более чем в 2,3 раза, что оказывает дополнительное давление на цены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;</w:t>
      </w:r>
    </w:p>
    <w:p w14:paraId="26E0DE3E" w14:textId="77777777" w:rsidR="006A4EE3" w:rsidRDefault="006A4EE3" w:rsidP="006A4EE3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C252E">
        <w:rPr>
          <w:rFonts w:eastAsiaTheme="minorHAnsi"/>
          <w:color w:val="000000" w:themeColor="text1"/>
          <w:sz w:val="24"/>
          <w:szCs w:val="24"/>
          <w:lang w:eastAsia="en-US"/>
        </w:rPr>
        <w:t xml:space="preserve">- </w:t>
      </w:r>
      <w:r w:rsidRPr="003D4A24">
        <w:rPr>
          <w:rFonts w:eastAsiaTheme="minorHAnsi"/>
          <w:color w:val="000000" w:themeColor="text1"/>
          <w:sz w:val="24"/>
          <w:szCs w:val="24"/>
          <w:lang w:eastAsia="en-US"/>
        </w:rPr>
        <w:t>сохранение повышенных инфляционных ожиданий населения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Pr="006C252E">
        <w:rPr>
          <w:rFonts w:eastAsiaTheme="minorHAnsi"/>
          <w:color w:val="000000" w:themeColor="text1"/>
          <w:sz w:val="24"/>
          <w:szCs w:val="24"/>
          <w:lang w:eastAsia="en-US"/>
        </w:rPr>
        <w:t xml:space="preserve"> Анонсированное на июнь повышение тарифов на отопление и горячее водоснабжение скорее всего вызвало у бизнеса и населения уверенность в дальнейшем росте издержек, в результате чего часть поставщиков начала заранее корректировать цены, закладывая ожидаемые затраты в конечную стоимость товаров и услуг.</w:t>
      </w:r>
    </w:p>
    <w:p w14:paraId="1BBABA41" w14:textId="77777777" w:rsidR="006A4EE3" w:rsidRDefault="006A4EE3" w:rsidP="006A4EE3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270790">
        <w:rPr>
          <w:rFonts w:eastAsiaTheme="minorHAnsi"/>
          <w:color w:val="000000" w:themeColor="text1"/>
          <w:sz w:val="24"/>
          <w:szCs w:val="24"/>
          <w:lang w:eastAsia="en-US"/>
        </w:rPr>
        <w:t xml:space="preserve">Для поддержания стабильности потребительских цен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принят </w:t>
      </w:r>
      <w:r w:rsidRPr="002660B3">
        <w:rPr>
          <w:rFonts w:eastAsiaTheme="minorHAnsi"/>
          <w:color w:val="000000" w:themeColor="text1"/>
          <w:sz w:val="24"/>
          <w:szCs w:val="24"/>
          <w:lang w:eastAsia="en-US"/>
        </w:rPr>
        <w:t>Плана мероприятий Кабинета Министров по сдерживанию темпов роста цен на социально значимые продовольственные товары на 2025 год (Распоряжение Кабинета Министров Кыргызской Республики от 10 февраля 2025 года № 72-р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) и активно мониторится. </w:t>
      </w:r>
    </w:p>
    <w:p w14:paraId="65881F43" w14:textId="77777777" w:rsidR="006A4EE3" w:rsidRDefault="006A4EE3" w:rsidP="006A4EE3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В</w:t>
      </w:r>
      <w:r w:rsidRPr="002660B3">
        <w:rPr>
          <w:rFonts w:eastAsiaTheme="minorHAnsi"/>
          <w:color w:val="000000" w:themeColor="text1"/>
          <w:sz w:val="24"/>
          <w:szCs w:val="24"/>
          <w:lang w:eastAsia="en-US"/>
        </w:rPr>
        <w:t xml:space="preserve"> целях стабилизации ситуации с 31 января 2025 года в Кыргызстане была приостановлена выдача разрешений на экспорт сельскохозяйственных животных в третьи страны. Запрет коснулся крупного и мелкого рогатого скота, а также лошадей. Эта мера позволила снизить объемы экспорта, однако цены на мясную продукцию продолжали расти в 2025 году из-за инерционного поведения на потребительском рынке, при котором участники продолжают сохранять сложившиеся цены в конце прошлого года или повышать цены, опираясь на сформировавшиеся инфляционные ожидания.</w:t>
      </w:r>
    </w:p>
    <w:p w14:paraId="32242A67" w14:textId="77777777" w:rsidR="006A4EE3" w:rsidRDefault="006A4EE3" w:rsidP="006A4EE3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Принимая во внимание складывающуюся</w:t>
      </w:r>
      <w:r w:rsidRPr="002660B3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инфляционн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ую</w:t>
      </w:r>
      <w:r w:rsidRPr="002660B3">
        <w:rPr>
          <w:rFonts w:eastAsiaTheme="minorHAnsi"/>
          <w:color w:val="000000" w:themeColor="text1"/>
          <w:sz w:val="24"/>
          <w:szCs w:val="24"/>
          <w:lang w:eastAsia="en-US"/>
        </w:rPr>
        <w:t xml:space="preserve"> ситуаци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ю </w:t>
      </w:r>
      <w:r w:rsidRPr="00EF5BD5">
        <w:rPr>
          <w:rFonts w:eastAsiaTheme="minorHAnsi"/>
          <w:color w:val="000000" w:themeColor="text1"/>
          <w:sz w:val="24"/>
          <w:szCs w:val="24"/>
          <w:lang w:eastAsia="en-US"/>
        </w:rPr>
        <w:t>введен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о</w:t>
      </w:r>
      <w:r w:rsidRPr="00EF5BD5">
        <w:rPr>
          <w:rFonts w:eastAsiaTheme="minorHAnsi"/>
          <w:color w:val="000000" w:themeColor="text1"/>
          <w:sz w:val="24"/>
          <w:szCs w:val="24"/>
          <w:lang w:eastAsia="en-US"/>
        </w:rPr>
        <w:t xml:space="preserve"> временно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е</w:t>
      </w:r>
      <w:r w:rsidRPr="00EF5BD5">
        <w:rPr>
          <w:rFonts w:eastAsiaTheme="minorHAnsi"/>
          <w:color w:val="000000" w:themeColor="text1"/>
          <w:sz w:val="24"/>
          <w:szCs w:val="24"/>
          <w:lang w:eastAsia="en-US"/>
        </w:rPr>
        <w:t xml:space="preserve"> государственно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е</w:t>
      </w:r>
      <w:r w:rsidRPr="00EF5BD5">
        <w:rPr>
          <w:rFonts w:eastAsiaTheme="minorHAnsi"/>
          <w:color w:val="000000" w:themeColor="text1"/>
          <w:sz w:val="24"/>
          <w:szCs w:val="24"/>
          <w:lang w:eastAsia="en-US"/>
        </w:rPr>
        <w:t xml:space="preserve"> регулировани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е</w:t>
      </w:r>
      <w:r w:rsidRPr="00EF5BD5">
        <w:rPr>
          <w:rFonts w:eastAsiaTheme="minorHAnsi"/>
          <w:color w:val="000000" w:themeColor="text1"/>
          <w:sz w:val="24"/>
          <w:szCs w:val="24"/>
          <w:lang w:eastAsia="en-US"/>
        </w:rPr>
        <w:t xml:space="preserve"> цен на говядину и баранину (за исключением бескостного мяса)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с </w:t>
      </w:r>
      <w:r w:rsidRPr="00EF5BD5">
        <w:rPr>
          <w:rFonts w:eastAsiaTheme="minorHAnsi"/>
          <w:color w:val="000000" w:themeColor="text1"/>
          <w:sz w:val="24"/>
          <w:szCs w:val="24"/>
          <w:lang w:eastAsia="en-US"/>
        </w:rPr>
        <w:t>11 августа 2025 года и будет действовать в течение 90 календарных дней.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EF5BD5">
        <w:rPr>
          <w:rFonts w:eastAsiaTheme="minorHAnsi"/>
          <w:color w:val="000000" w:themeColor="text1"/>
          <w:sz w:val="24"/>
          <w:szCs w:val="24"/>
          <w:lang w:eastAsia="en-US"/>
        </w:rPr>
        <w:t xml:space="preserve">Такая мера направлена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на </w:t>
      </w:r>
      <w:r w:rsidRPr="00EF5BD5">
        <w:rPr>
          <w:rFonts w:eastAsiaTheme="minorHAnsi"/>
          <w:color w:val="000000" w:themeColor="text1"/>
          <w:sz w:val="24"/>
          <w:szCs w:val="24"/>
          <w:lang w:eastAsia="en-US"/>
        </w:rPr>
        <w:t>предотвращени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е</w:t>
      </w:r>
      <w:r w:rsidRPr="00EF5BD5">
        <w:rPr>
          <w:rFonts w:eastAsiaTheme="minorHAnsi"/>
          <w:color w:val="000000" w:themeColor="text1"/>
          <w:sz w:val="24"/>
          <w:szCs w:val="24"/>
          <w:lang w:eastAsia="en-US"/>
        </w:rPr>
        <w:t xml:space="preserve"> необоснованного роста цен и обеспечение доступности мясной продукции для населения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14:paraId="307B7BD3" w14:textId="77777777" w:rsidR="006A4EE3" w:rsidRPr="00AA167B" w:rsidRDefault="006A4EE3" w:rsidP="006A4EE3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A167B">
        <w:rPr>
          <w:rFonts w:eastAsiaTheme="minorHAnsi"/>
          <w:color w:val="000000" w:themeColor="text1"/>
          <w:sz w:val="24"/>
          <w:szCs w:val="24"/>
          <w:lang w:eastAsia="en-US"/>
        </w:rPr>
        <w:t>Национальный банк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Кыргызской Республики в рамках проведения </w:t>
      </w:r>
      <w:r w:rsidRPr="00AA167B">
        <w:rPr>
          <w:rFonts w:eastAsiaTheme="minorHAnsi"/>
          <w:color w:val="000000" w:themeColor="text1"/>
          <w:sz w:val="24"/>
          <w:szCs w:val="24"/>
          <w:lang w:eastAsia="en-US"/>
        </w:rPr>
        <w:t>денежно-кредитной политики продолж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ает</w:t>
      </w:r>
      <w:r w:rsidRPr="00AA167B">
        <w:rPr>
          <w:rFonts w:eastAsiaTheme="minorHAnsi"/>
          <w:color w:val="000000" w:themeColor="text1"/>
          <w:sz w:val="24"/>
          <w:szCs w:val="24"/>
          <w:lang w:eastAsia="en-US"/>
        </w:rPr>
        <w:t xml:space="preserve"> оценивать складывающиеся внешние и внутренние факторы инфляции.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С</w:t>
      </w:r>
      <w:r w:rsidRPr="00AA167B">
        <w:rPr>
          <w:rFonts w:eastAsiaTheme="minorHAnsi"/>
          <w:color w:val="000000" w:themeColor="text1"/>
          <w:sz w:val="24"/>
          <w:szCs w:val="24"/>
          <w:lang w:eastAsia="en-US"/>
        </w:rPr>
        <w:t xml:space="preserve"> учетом анализа факторов инфляции для поддержания ценовой стабильности в стране в среднесрочном периоде,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Национальный банк Кыргызской Республики</w:t>
      </w:r>
      <w:r w:rsidRPr="00AA167B">
        <w:rPr>
          <w:rFonts w:eastAsiaTheme="minorHAnsi"/>
          <w:color w:val="000000" w:themeColor="text1"/>
          <w:sz w:val="24"/>
          <w:szCs w:val="24"/>
          <w:lang w:eastAsia="en-US"/>
        </w:rPr>
        <w:t xml:space="preserve"> повыси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л</w:t>
      </w:r>
      <w:r w:rsidRPr="00AA167B">
        <w:rPr>
          <w:rFonts w:eastAsiaTheme="minorHAnsi"/>
          <w:color w:val="000000" w:themeColor="text1"/>
          <w:sz w:val="24"/>
          <w:szCs w:val="24"/>
          <w:lang w:eastAsia="en-US"/>
        </w:rPr>
        <w:t xml:space="preserve"> размер учетной ставки на 25 базисных пунктов до 9,25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%</w:t>
      </w:r>
      <w:r w:rsidRPr="00AA167B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bookmarkEnd w:id="1"/>
    <w:p w14:paraId="0C77B699" w14:textId="7DAB380D" w:rsidR="00AF7B90" w:rsidRPr="004B58BD" w:rsidRDefault="00AF7B90" w:rsidP="00AF7B90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B58BD"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>Заработная плата.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 Среднемесячная номинальная заработная плата одного работника без учета малых предприятий в январе-</w:t>
      </w:r>
      <w:r w:rsidR="00F45D25" w:rsidRPr="004B58BD">
        <w:rPr>
          <w:rFonts w:eastAsiaTheme="minorHAnsi"/>
          <w:color w:val="000000" w:themeColor="text1"/>
          <w:sz w:val="24"/>
          <w:szCs w:val="24"/>
          <w:lang w:eastAsia="en-US"/>
        </w:rPr>
        <w:t>июне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 2025 года составила </w:t>
      </w:r>
      <w:r w:rsidR="007C254C"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42020 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>сом и увеличилась по сравнению с соответствующим периодом 2024 года на 19,</w:t>
      </w:r>
      <w:r w:rsidR="007C254C" w:rsidRPr="004B58BD">
        <w:rPr>
          <w:rFonts w:eastAsiaTheme="minorHAnsi"/>
          <w:color w:val="000000" w:themeColor="text1"/>
          <w:sz w:val="24"/>
          <w:szCs w:val="24"/>
          <w:lang w:eastAsia="en-US"/>
        </w:rPr>
        <w:t>6</w:t>
      </w:r>
      <w:r w:rsidR="007B2A85"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>%, а размер реальной заработной платы с учетом индекса потребительских цен повысился на 11,</w:t>
      </w:r>
      <w:r w:rsidR="007C254C" w:rsidRPr="004B58BD">
        <w:rPr>
          <w:rFonts w:eastAsiaTheme="minorHAnsi"/>
          <w:color w:val="000000" w:themeColor="text1"/>
          <w:sz w:val="24"/>
          <w:szCs w:val="24"/>
          <w:lang w:eastAsia="en-US"/>
        </w:rPr>
        <w:t>5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 xml:space="preserve"> %.</w:t>
      </w:r>
    </w:p>
    <w:p w14:paraId="3510A1CF" w14:textId="706E808F" w:rsidR="007C254C" w:rsidRPr="004B58BD" w:rsidRDefault="007C254C" w:rsidP="00AF7B90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>Повышение темпов роста среднемесячной номинальной начисленной заработной платы в январе-июне 2025 года по сравнению с январем-июнем 2024 года наблюдалось на предприятиях и в организациях всех видов экономической деятельности.</w:t>
      </w:r>
    </w:p>
    <w:p w14:paraId="24722774" w14:textId="6FC49CD6" w:rsidR="007C254C" w:rsidRPr="004B58BD" w:rsidRDefault="007C254C" w:rsidP="00AF7B90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>Наиболее значительное ее повышение наблюдалось в сфере операций с недвижимым имуществом (</w:t>
      </w:r>
      <w:r w:rsidR="004F7F70">
        <w:rPr>
          <w:rFonts w:eastAsiaTheme="minorHAnsi"/>
          <w:color w:val="000000" w:themeColor="text1"/>
          <w:sz w:val="24"/>
          <w:szCs w:val="24"/>
          <w:lang w:eastAsia="en-US"/>
        </w:rPr>
        <w:t xml:space="preserve">на 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>40,3 %), строительства (</w:t>
      </w:r>
      <w:r w:rsidR="004F7F70">
        <w:rPr>
          <w:rFonts w:eastAsiaTheme="minorHAnsi"/>
          <w:color w:val="000000" w:themeColor="text1"/>
          <w:sz w:val="24"/>
          <w:szCs w:val="24"/>
          <w:lang w:eastAsia="en-US"/>
        </w:rPr>
        <w:t xml:space="preserve">на 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>39,4 %), административной и вспомогательной деятельности (</w:t>
      </w:r>
      <w:r w:rsidR="004F7F70">
        <w:rPr>
          <w:rFonts w:eastAsiaTheme="minorHAnsi"/>
          <w:color w:val="000000" w:themeColor="text1"/>
          <w:sz w:val="24"/>
          <w:szCs w:val="24"/>
          <w:lang w:eastAsia="en-US"/>
        </w:rPr>
        <w:t xml:space="preserve">на 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>30,1 %), здравоохранения и социального обслуживания населения (</w:t>
      </w:r>
      <w:r w:rsidR="004F7F70">
        <w:rPr>
          <w:rFonts w:eastAsiaTheme="minorHAnsi"/>
          <w:color w:val="000000" w:themeColor="text1"/>
          <w:sz w:val="24"/>
          <w:szCs w:val="24"/>
          <w:lang w:eastAsia="en-US"/>
        </w:rPr>
        <w:t xml:space="preserve">на 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>27,3 %), профессиональной, научной и технической деятельности (</w:t>
      </w:r>
      <w:r w:rsidR="004F7F70">
        <w:rPr>
          <w:rFonts w:eastAsiaTheme="minorHAnsi"/>
          <w:color w:val="000000" w:themeColor="text1"/>
          <w:sz w:val="24"/>
          <w:szCs w:val="24"/>
          <w:lang w:eastAsia="en-US"/>
        </w:rPr>
        <w:t xml:space="preserve">на 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>27,3 %), деятельности гостиниц и ресторанов (</w:t>
      </w:r>
      <w:r w:rsidR="004F7F70">
        <w:rPr>
          <w:rFonts w:eastAsiaTheme="minorHAnsi"/>
          <w:color w:val="000000" w:themeColor="text1"/>
          <w:sz w:val="24"/>
          <w:szCs w:val="24"/>
          <w:lang w:eastAsia="en-US"/>
        </w:rPr>
        <w:t xml:space="preserve">на 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>26,2 %), государственного управления и обороны; обязательного социального обеспечения (</w:t>
      </w:r>
      <w:r w:rsidR="004F7F70">
        <w:rPr>
          <w:rFonts w:eastAsiaTheme="minorHAnsi"/>
          <w:color w:val="000000" w:themeColor="text1"/>
          <w:sz w:val="24"/>
          <w:szCs w:val="24"/>
          <w:lang w:eastAsia="en-US"/>
        </w:rPr>
        <w:t xml:space="preserve">на 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>24,2 %), финансового посредничества и страхования (</w:t>
      </w:r>
      <w:r w:rsidR="004F7F70">
        <w:rPr>
          <w:rFonts w:eastAsiaTheme="minorHAnsi"/>
          <w:color w:val="000000" w:themeColor="text1"/>
          <w:sz w:val="24"/>
          <w:szCs w:val="24"/>
          <w:lang w:eastAsia="en-US"/>
        </w:rPr>
        <w:t xml:space="preserve">на 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>22,9 %), а также в сфере прочей обслуживающей деятельности (</w:t>
      </w:r>
      <w:r w:rsidR="004F7F70">
        <w:rPr>
          <w:rFonts w:eastAsiaTheme="minorHAnsi"/>
          <w:color w:val="000000" w:themeColor="text1"/>
          <w:sz w:val="24"/>
          <w:szCs w:val="24"/>
          <w:lang w:eastAsia="en-US"/>
        </w:rPr>
        <w:t xml:space="preserve">на </w:t>
      </w:r>
      <w:r w:rsidRPr="004B58BD">
        <w:rPr>
          <w:rFonts w:eastAsiaTheme="minorHAnsi"/>
          <w:color w:val="000000" w:themeColor="text1"/>
          <w:sz w:val="24"/>
          <w:szCs w:val="24"/>
          <w:lang w:eastAsia="en-US"/>
        </w:rPr>
        <w:t>21,3 %).</w:t>
      </w:r>
    </w:p>
    <w:p w14:paraId="06E79213" w14:textId="77777777" w:rsidR="003F7A05" w:rsidRPr="004B58BD" w:rsidRDefault="003F7A05" w:rsidP="003F7A05">
      <w:pPr>
        <w:ind w:firstLine="709"/>
        <w:jc w:val="both"/>
        <w:rPr>
          <w:rFonts w:eastAsia="Calibri"/>
          <w:bCs/>
          <w:sz w:val="24"/>
          <w:szCs w:val="24"/>
        </w:rPr>
      </w:pPr>
      <w:r w:rsidRPr="004B58BD">
        <w:rPr>
          <w:rFonts w:eastAsia="Calibri"/>
          <w:b/>
          <w:sz w:val="24"/>
          <w:szCs w:val="24"/>
        </w:rPr>
        <w:t xml:space="preserve">Внешняя и взаимная торговля. </w:t>
      </w:r>
      <w:r w:rsidRPr="004B58BD">
        <w:rPr>
          <w:rFonts w:eastAsia="Calibri"/>
          <w:bCs/>
          <w:sz w:val="24"/>
          <w:szCs w:val="24"/>
        </w:rPr>
        <w:t>Объем внешнеторгового оборота Кыргызской Республики за январь-июнь 2025 года составил 6 998,7 млн долл. США и по сравнению с соответствующим периодом 2024 года снизился на 12,4 %. При этом, в структуре товарооборота на долю экспорта пришлось 15,0 %, импорта – 85,0 %.</w:t>
      </w:r>
    </w:p>
    <w:p w14:paraId="583E871D" w14:textId="5B8CA0EB" w:rsidR="00071EB2" w:rsidRPr="004B58BD" w:rsidRDefault="00071EB2" w:rsidP="00071EB2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B58BD">
        <w:rPr>
          <w:rFonts w:eastAsia="Calibri"/>
          <w:color w:val="000000" w:themeColor="text1"/>
          <w:sz w:val="24"/>
          <w:szCs w:val="24"/>
          <w:lang w:eastAsia="en-US"/>
        </w:rPr>
        <w:t>Снижение объема внешней и взаимной торговли Кыргызской Республики в январе-</w:t>
      </w:r>
      <w:r w:rsidR="00F45D25" w:rsidRPr="004B58BD">
        <w:rPr>
          <w:rFonts w:eastAsia="Calibri"/>
          <w:color w:val="000000" w:themeColor="text1"/>
          <w:sz w:val="24"/>
          <w:szCs w:val="24"/>
          <w:lang w:eastAsia="en-US"/>
        </w:rPr>
        <w:t>июне</w:t>
      </w:r>
      <w:r w:rsidRPr="004B58BD">
        <w:rPr>
          <w:rFonts w:eastAsia="Calibri"/>
          <w:color w:val="000000" w:themeColor="text1"/>
          <w:sz w:val="24"/>
          <w:szCs w:val="24"/>
          <w:lang w:eastAsia="en-US"/>
        </w:rPr>
        <w:t xml:space="preserve"> текущего года по сравнению с соответствующим периодом 2024 года обусловлено уменьшением как экспортных поставок, так и импортных поступлений.</w:t>
      </w:r>
    </w:p>
    <w:p w14:paraId="4AF6883C" w14:textId="3D1AABA1" w:rsidR="003F7A05" w:rsidRPr="004B58BD" w:rsidRDefault="003F7A05" w:rsidP="00071EB2">
      <w:pPr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4B58BD">
        <w:rPr>
          <w:rFonts w:eastAsia="Calibri"/>
          <w:color w:val="000000" w:themeColor="text1"/>
          <w:sz w:val="24"/>
          <w:szCs w:val="24"/>
        </w:rPr>
        <w:t>Экспортные поставки Кыргызской Республики по сравнению с соответствующим периодом прошлого года снизились на 26,3 %, составив 1 048,6 млн долл. США.</w:t>
      </w:r>
    </w:p>
    <w:p w14:paraId="60C6D86F" w14:textId="53A0B07E" w:rsidR="003F7A05" w:rsidRPr="004B58BD" w:rsidRDefault="003F7A05" w:rsidP="003F7A05">
      <w:pPr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4B58BD">
        <w:rPr>
          <w:rFonts w:eastAsia="Calibri"/>
          <w:color w:val="000000" w:themeColor="text1"/>
          <w:sz w:val="24"/>
          <w:szCs w:val="24"/>
        </w:rPr>
        <w:t>Объем импортируемых товаров в Кыргызскую Республику сложился на уровне 5950,1 млн долл. США и снизился по сравнению с соответствующим периодом 2024 года на 9,4 %. Снижение объемов импортных поступлений по сравнению с январем-июнем 2024 года, в основном, обусловлено уменьшением объемов поступлений трикотажных полотен в 2,2 раза, средств наземного транспорта и их частей – в 1,7 раза, одежды и одежных принадлежностей – в 1,6 раза, оборудования и механических устройств – в 1,6 раза, злаковых культур – на 27,4 %, мяса и мясных субпродуктов – на 14,8 %, фармацевтической  продукции – на 6,8 %.</w:t>
      </w:r>
    </w:p>
    <w:p w14:paraId="33DA13DB" w14:textId="05053A66" w:rsidR="003F7A05" w:rsidRPr="004B58BD" w:rsidRDefault="003F7A05" w:rsidP="00071EB2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B58BD">
        <w:rPr>
          <w:rFonts w:eastAsia="Calibri"/>
          <w:color w:val="000000" w:themeColor="text1"/>
          <w:sz w:val="24"/>
          <w:szCs w:val="24"/>
        </w:rPr>
        <w:t>Объем взаимной торговли Кыргызской Республики с государствами-членами ЕАЭС в январе-июне 2025 года составил 2 247,6 млн. долл</w:t>
      </w:r>
      <w:r w:rsidR="00DA15D3">
        <w:rPr>
          <w:rFonts w:eastAsia="Calibri"/>
          <w:color w:val="000000" w:themeColor="text1"/>
          <w:sz w:val="24"/>
          <w:szCs w:val="24"/>
        </w:rPr>
        <w:t>.</w:t>
      </w:r>
      <w:r w:rsidRPr="004B58BD">
        <w:rPr>
          <w:rFonts w:eastAsia="Calibri"/>
          <w:color w:val="000000" w:themeColor="text1"/>
          <w:sz w:val="24"/>
          <w:szCs w:val="24"/>
        </w:rPr>
        <w:t xml:space="preserve"> США и по сравнению с январем-июнем 2024 года уменьшился на 6,2 %. Из государств-членов ЕАЭС наибольшая доля взаимной торговли республики пришлась на Россию (65,7 %) и Казахстан (32,1 %). </w:t>
      </w:r>
      <w:r w:rsidRPr="004B58BD">
        <w:rPr>
          <w:rFonts w:eastAsia="Calibri"/>
          <w:color w:val="000000" w:themeColor="text1"/>
          <w:sz w:val="24"/>
          <w:szCs w:val="24"/>
          <w:lang w:eastAsia="en-US"/>
        </w:rPr>
        <w:t>В общем объеме товарооборота республики на взаимную торговлю с государствами-членами Евразийского экономического союза пришлось 32,1 %, в экспорте - 41,5 %, в импорте - 30,5 %.</w:t>
      </w:r>
    </w:p>
    <w:p w14:paraId="05FEA00B" w14:textId="349E0FF5" w:rsidR="00682E32" w:rsidRPr="004B58BD" w:rsidRDefault="003F7A05" w:rsidP="00A35A29">
      <w:pPr>
        <w:ind w:firstLine="708"/>
        <w:jc w:val="both"/>
        <w:rPr>
          <w:color w:val="000000" w:themeColor="text1"/>
        </w:rPr>
      </w:pPr>
      <w:r w:rsidRPr="004B58BD">
        <w:rPr>
          <w:rFonts w:eastAsia="Calibri"/>
          <w:color w:val="000000" w:themeColor="text1"/>
          <w:sz w:val="24"/>
          <w:szCs w:val="24"/>
          <w:lang w:eastAsia="en-US"/>
        </w:rPr>
        <w:t>Объем внешней торговли с третьими странами (вне ЕАЭС) составил 4 751,1 млн. долл</w:t>
      </w:r>
      <w:r w:rsidR="00DA15D3">
        <w:rPr>
          <w:rFonts w:eastAsia="Calibri"/>
          <w:color w:val="000000" w:themeColor="text1"/>
          <w:sz w:val="24"/>
          <w:szCs w:val="24"/>
          <w:lang w:eastAsia="en-US"/>
        </w:rPr>
        <w:t>.</w:t>
      </w:r>
      <w:r w:rsidRPr="004B58BD">
        <w:rPr>
          <w:rFonts w:eastAsia="Calibri"/>
          <w:color w:val="000000" w:themeColor="text1"/>
          <w:sz w:val="24"/>
          <w:szCs w:val="24"/>
          <w:lang w:eastAsia="en-US"/>
        </w:rPr>
        <w:t xml:space="preserve"> США и по сравнению с январем-июнем 2024 года снизился на 15,1 %.</w:t>
      </w:r>
    </w:p>
    <w:sectPr w:rsidR="00682E32" w:rsidRPr="004B58BD" w:rsidSect="00681C9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B5558" w14:textId="77777777" w:rsidR="00614A48" w:rsidRDefault="00614A48" w:rsidP="00582E51">
      <w:r>
        <w:separator/>
      </w:r>
    </w:p>
  </w:endnote>
  <w:endnote w:type="continuationSeparator" w:id="0">
    <w:p w14:paraId="32C4A813" w14:textId="77777777" w:rsidR="00614A48" w:rsidRDefault="00614A48" w:rsidP="0058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A0E44" w14:textId="77777777" w:rsidR="00614A48" w:rsidRDefault="00614A48" w:rsidP="00582E51">
      <w:r>
        <w:separator/>
      </w:r>
    </w:p>
  </w:footnote>
  <w:footnote w:type="continuationSeparator" w:id="0">
    <w:p w14:paraId="712573DC" w14:textId="77777777" w:rsidR="00614A48" w:rsidRDefault="00614A48" w:rsidP="00582E51">
      <w:r>
        <w:continuationSeparator/>
      </w:r>
    </w:p>
  </w:footnote>
  <w:footnote w:id="1">
    <w:p w14:paraId="5DC30AC2" w14:textId="77777777" w:rsidR="00582E51" w:rsidRDefault="00582E51" w:rsidP="00582E51">
      <w:pPr>
        <w:pStyle w:val="a3"/>
        <w:rPr>
          <w:sz w:val="22"/>
          <w:szCs w:val="22"/>
        </w:rPr>
      </w:pPr>
      <w:r>
        <w:rPr>
          <w:rStyle w:val="a5"/>
          <w:sz w:val="18"/>
          <w:szCs w:val="18"/>
        </w:rPr>
        <w:footnoteRef/>
      </w:r>
      <w:r>
        <w:rPr>
          <w:sz w:val="18"/>
          <w:szCs w:val="18"/>
        </w:rPr>
        <w:t xml:space="preserve"> Темпы прироста приведены по ВДС.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37D3E"/>
    <w:multiLevelType w:val="hybridMultilevel"/>
    <w:tmpl w:val="42842952"/>
    <w:lvl w:ilvl="0" w:tplc="D7DC985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E4253A"/>
    <w:multiLevelType w:val="hybridMultilevel"/>
    <w:tmpl w:val="AA76F050"/>
    <w:lvl w:ilvl="0" w:tplc="9B5EEE4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918CD"/>
    <w:multiLevelType w:val="hybridMultilevel"/>
    <w:tmpl w:val="395AB57A"/>
    <w:lvl w:ilvl="0" w:tplc="26D63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51"/>
    <w:rsid w:val="00001E34"/>
    <w:rsid w:val="0000404B"/>
    <w:rsid w:val="000510D1"/>
    <w:rsid w:val="00055398"/>
    <w:rsid w:val="000701E6"/>
    <w:rsid w:val="00071EB2"/>
    <w:rsid w:val="0009697D"/>
    <w:rsid w:val="000D1DEA"/>
    <w:rsid w:val="000D2DC2"/>
    <w:rsid w:val="000E3871"/>
    <w:rsid w:val="000E61DA"/>
    <w:rsid w:val="00123B0B"/>
    <w:rsid w:val="00130FA6"/>
    <w:rsid w:val="001826B2"/>
    <w:rsid w:val="001B7631"/>
    <w:rsid w:val="001E2E5C"/>
    <w:rsid w:val="00220353"/>
    <w:rsid w:val="00244500"/>
    <w:rsid w:val="0024790B"/>
    <w:rsid w:val="00287BA0"/>
    <w:rsid w:val="002B03DD"/>
    <w:rsid w:val="002B1F3A"/>
    <w:rsid w:val="003778CF"/>
    <w:rsid w:val="00387EC5"/>
    <w:rsid w:val="00395147"/>
    <w:rsid w:val="003A572E"/>
    <w:rsid w:val="003D13E1"/>
    <w:rsid w:val="003F7A05"/>
    <w:rsid w:val="0041293C"/>
    <w:rsid w:val="00422C4C"/>
    <w:rsid w:val="0043707D"/>
    <w:rsid w:val="004B58BD"/>
    <w:rsid w:val="004D4A8D"/>
    <w:rsid w:val="004F7F70"/>
    <w:rsid w:val="0050274F"/>
    <w:rsid w:val="00537375"/>
    <w:rsid w:val="005466F6"/>
    <w:rsid w:val="00582E51"/>
    <w:rsid w:val="005D790E"/>
    <w:rsid w:val="00605B80"/>
    <w:rsid w:val="006133BE"/>
    <w:rsid w:val="00614A48"/>
    <w:rsid w:val="00641904"/>
    <w:rsid w:val="00666CB3"/>
    <w:rsid w:val="00682E32"/>
    <w:rsid w:val="006A4EE3"/>
    <w:rsid w:val="006B61D3"/>
    <w:rsid w:val="006D2B6E"/>
    <w:rsid w:val="006F0F9E"/>
    <w:rsid w:val="00721D18"/>
    <w:rsid w:val="00722DE1"/>
    <w:rsid w:val="00746015"/>
    <w:rsid w:val="007B2A85"/>
    <w:rsid w:val="007C254C"/>
    <w:rsid w:val="007D623B"/>
    <w:rsid w:val="007E54FF"/>
    <w:rsid w:val="007F3060"/>
    <w:rsid w:val="00811932"/>
    <w:rsid w:val="00812633"/>
    <w:rsid w:val="00824496"/>
    <w:rsid w:val="008455B4"/>
    <w:rsid w:val="00873E37"/>
    <w:rsid w:val="008D1BCF"/>
    <w:rsid w:val="0093169E"/>
    <w:rsid w:val="0093768D"/>
    <w:rsid w:val="00951C6B"/>
    <w:rsid w:val="009B2510"/>
    <w:rsid w:val="009D17DD"/>
    <w:rsid w:val="00A22E40"/>
    <w:rsid w:val="00A25355"/>
    <w:rsid w:val="00A35A29"/>
    <w:rsid w:val="00A421E4"/>
    <w:rsid w:val="00A6553B"/>
    <w:rsid w:val="00A70B13"/>
    <w:rsid w:val="00A72977"/>
    <w:rsid w:val="00A730B5"/>
    <w:rsid w:val="00A76151"/>
    <w:rsid w:val="00AF3B2E"/>
    <w:rsid w:val="00AF7B90"/>
    <w:rsid w:val="00B0624E"/>
    <w:rsid w:val="00B225B0"/>
    <w:rsid w:val="00B737A9"/>
    <w:rsid w:val="00B769BF"/>
    <w:rsid w:val="00B82D0E"/>
    <w:rsid w:val="00B84B05"/>
    <w:rsid w:val="00BB1FEB"/>
    <w:rsid w:val="00BB69A2"/>
    <w:rsid w:val="00BC24D2"/>
    <w:rsid w:val="00BC53E0"/>
    <w:rsid w:val="00BD67E6"/>
    <w:rsid w:val="00C019CB"/>
    <w:rsid w:val="00C02DC8"/>
    <w:rsid w:val="00C11E63"/>
    <w:rsid w:val="00C76A2C"/>
    <w:rsid w:val="00CC2E37"/>
    <w:rsid w:val="00CE2AA1"/>
    <w:rsid w:val="00D04892"/>
    <w:rsid w:val="00D054C5"/>
    <w:rsid w:val="00D246F3"/>
    <w:rsid w:val="00D271C8"/>
    <w:rsid w:val="00D47C6F"/>
    <w:rsid w:val="00D519E5"/>
    <w:rsid w:val="00D83D1B"/>
    <w:rsid w:val="00D83F00"/>
    <w:rsid w:val="00D91979"/>
    <w:rsid w:val="00D93765"/>
    <w:rsid w:val="00D94F61"/>
    <w:rsid w:val="00DA15D3"/>
    <w:rsid w:val="00E10596"/>
    <w:rsid w:val="00E234A8"/>
    <w:rsid w:val="00E23E6E"/>
    <w:rsid w:val="00E350D3"/>
    <w:rsid w:val="00E60F7B"/>
    <w:rsid w:val="00E62A83"/>
    <w:rsid w:val="00EC2EDA"/>
    <w:rsid w:val="00ED3CA2"/>
    <w:rsid w:val="00EF0C74"/>
    <w:rsid w:val="00F07335"/>
    <w:rsid w:val="00F43D3E"/>
    <w:rsid w:val="00F45D25"/>
    <w:rsid w:val="00F55421"/>
    <w:rsid w:val="00F7765B"/>
    <w:rsid w:val="00F958A0"/>
    <w:rsid w:val="00FA493B"/>
    <w:rsid w:val="00FB6F3E"/>
    <w:rsid w:val="00FC105B"/>
    <w:rsid w:val="00FE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C85A"/>
  <w15:chartTrackingRefBased/>
  <w15:docId w15:val="{FE27D76F-D85A-4AC0-AA2C-AE3D8EA0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ootnote,12pt,single space,FOOTNOTES,fn,12pt Знак Знак Знак Знак Знак,12pt Знак Знак Знак Знак,ft,ADB,WB-Fußnotentext,Fußnote,Geneva 9,Font: Geneva 9,Boston 10,f,12pt Знак Знак Знак Знак Знак1,12,12 Знак Знак,12 Знак,5,footnote text,FuЯnote"/>
    <w:basedOn w:val="a"/>
    <w:link w:val="a4"/>
    <w:rsid w:val="00582E51"/>
  </w:style>
  <w:style w:type="character" w:customStyle="1" w:styleId="a4">
    <w:name w:val="Текст сноски Знак"/>
    <w:aliases w:val="Footnote Знак,12pt Знак,single space Знак,FOOTNOTES Знак,fn Знак,12pt Знак Знак Знак Знак Знак Знак,12pt Знак Знак Знак Знак Знак2,ft Знак,ADB Знак,WB-Fußnotentext Знак,Fußnote Знак,Geneva 9 Знак,Font: Geneva 9 Знак,Boston 10 Знак"/>
    <w:basedOn w:val="a0"/>
    <w:link w:val="a3"/>
    <w:rsid w:val="00582E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16 Point,Superscript 6 Point,Знак сноски 1,Знак сноски-FN,Ciae niinee-FN,Referencia nota al pie,ftref,BVI fnr,BVI fnr Car Car,BVI fnr Car,BVI fnr Car Car Car Car,Footnote text, BVI fnr, BVI fnr Car Car, BVI fnr Car Car Car Car,fr"/>
    <w:basedOn w:val="a0"/>
    <w:uiPriority w:val="99"/>
    <w:rsid w:val="00582E51"/>
    <w:rPr>
      <w:vertAlign w:val="superscript"/>
    </w:rPr>
  </w:style>
  <w:style w:type="table" w:styleId="a6">
    <w:name w:val="Table Grid"/>
    <w:basedOn w:val="a1"/>
    <w:uiPriority w:val="59"/>
    <w:rsid w:val="00582E51"/>
    <w:pPr>
      <w:spacing w:after="0" w:line="240" w:lineRule="auto"/>
    </w:pPr>
    <w:rPr>
      <w:lang w:val="ky-K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"/>
    <w:basedOn w:val="a"/>
    <w:uiPriority w:val="99"/>
    <w:unhideWhenUsed/>
    <w:rsid w:val="00582E51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2A8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2A8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Revision"/>
    <w:hidden/>
    <w:uiPriority w:val="99"/>
    <w:semiHidden/>
    <w:rsid w:val="00A70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F7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A288E-5076-49CF-991D-16849C3E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3141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Жибек Омурова</dc:creator>
  <cp:keywords/>
  <dc:description/>
  <cp:lastModifiedBy>Эсенова Алтынай</cp:lastModifiedBy>
  <cp:revision>36</cp:revision>
  <dcterms:created xsi:type="dcterms:W3CDTF">2025-07-15T10:47:00Z</dcterms:created>
  <dcterms:modified xsi:type="dcterms:W3CDTF">2025-08-15T10:47:00Z</dcterms:modified>
</cp:coreProperties>
</file>