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A98E" w14:textId="21469D56" w:rsidR="009F378A" w:rsidRDefault="001D4BD8" w:rsidP="003638E8">
      <w:pPr>
        <w:pStyle w:val="a3"/>
        <w:rPr>
          <w:b/>
          <w:bCs/>
          <w:sz w:val="22"/>
          <w:szCs w:val="22"/>
        </w:rPr>
      </w:pPr>
      <w:r w:rsidRPr="0074197C">
        <w:rPr>
          <w:b/>
          <w:bCs/>
          <w:sz w:val="22"/>
          <w:szCs w:val="22"/>
        </w:rPr>
        <w:t>УВЕДОМЛЕНИЕ</w:t>
      </w:r>
      <w:r w:rsidRPr="0074197C">
        <w:rPr>
          <w:b/>
          <w:bCs/>
          <w:sz w:val="22"/>
          <w:szCs w:val="22"/>
        </w:rPr>
        <w:br/>
      </w:r>
      <w:r w:rsidRPr="003638E8">
        <w:rPr>
          <w:b/>
          <w:bCs/>
          <w:sz w:val="22"/>
          <w:szCs w:val="22"/>
        </w:rPr>
        <w:t>о разработке АРВ к проекту</w:t>
      </w:r>
      <w:r w:rsidR="00AC772A">
        <w:rPr>
          <w:b/>
          <w:bCs/>
          <w:sz w:val="22"/>
          <w:szCs w:val="22"/>
        </w:rPr>
        <w:t xml:space="preserve"> постановления</w:t>
      </w:r>
      <w:r w:rsidRPr="003638E8">
        <w:rPr>
          <w:b/>
          <w:bCs/>
          <w:sz w:val="22"/>
          <w:szCs w:val="22"/>
        </w:rPr>
        <w:t xml:space="preserve"> </w:t>
      </w:r>
      <w:r w:rsidR="00AC772A">
        <w:rPr>
          <w:b/>
          <w:bCs/>
          <w:sz w:val="22"/>
          <w:szCs w:val="22"/>
        </w:rPr>
        <w:t xml:space="preserve">Кабинета Министров </w:t>
      </w:r>
      <w:bookmarkStart w:id="0" w:name="_GoBack"/>
      <w:bookmarkEnd w:id="0"/>
      <w:r w:rsidR="003638E8" w:rsidRPr="003638E8">
        <w:rPr>
          <w:b/>
          <w:bCs/>
          <w:sz w:val="22"/>
          <w:szCs w:val="22"/>
          <w:lang w:val="ky-KG"/>
        </w:rPr>
        <w:t xml:space="preserve">Кыргызской Республики </w:t>
      </w:r>
      <w:r w:rsidR="003638E8" w:rsidRPr="003638E8">
        <w:rPr>
          <w:b/>
          <w:bCs/>
          <w:sz w:val="22"/>
          <w:szCs w:val="22"/>
        </w:rPr>
        <w:t xml:space="preserve">«О внесении изменений в постановление Правительства Кыргызской Республики </w:t>
      </w:r>
    </w:p>
    <w:p w14:paraId="522EA500" w14:textId="74F001EC" w:rsidR="003638E8" w:rsidRPr="003638E8" w:rsidRDefault="003638E8" w:rsidP="003638E8">
      <w:pPr>
        <w:pStyle w:val="a3"/>
        <w:rPr>
          <w:b/>
          <w:bCs/>
          <w:sz w:val="22"/>
          <w:szCs w:val="22"/>
        </w:rPr>
      </w:pPr>
      <w:r w:rsidRPr="003638E8">
        <w:rPr>
          <w:b/>
          <w:bCs/>
          <w:sz w:val="22"/>
          <w:szCs w:val="22"/>
        </w:rPr>
        <w:t xml:space="preserve">от 25 июня 2015 года № 418 «Об утверждении базовой суммы налога на основе добровольного патента по видам деятельности» </w:t>
      </w:r>
    </w:p>
    <w:p w14:paraId="627CCE49" w14:textId="77777777" w:rsidR="003638E8" w:rsidRPr="003638E8" w:rsidRDefault="003638E8" w:rsidP="003638E8">
      <w:pPr>
        <w:jc w:val="center"/>
        <w:rPr>
          <w:b/>
          <w:bCs/>
          <w:sz w:val="22"/>
          <w:szCs w:val="22"/>
        </w:rPr>
      </w:pPr>
    </w:p>
    <w:p w14:paraId="7374A76E" w14:textId="66305640" w:rsidR="001D4BD8" w:rsidRPr="0074197C" w:rsidRDefault="001D4BD8" w:rsidP="0074197C">
      <w:pPr>
        <w:pStyle w:val="a6"/>
        <w:jc w:val="both"/>
        <w:rPr>
          <w:b/>
          <w:bCs/>
          <w:sz w:val="22"/>
          <w:szCs w:val="22"/>
        </w:rPr>
      </w:pPr>
      <w:r w:rsidRPr="0074197C">
        <w:rPr>
          <w:sz w:val="22"/>
          <w:szCs w:val="22"/>
        </w:rPr>
        <w:t>Настоящим, Министерство экономики и финансов Кыргызской Республики извещает о начале обсуждения правового регулирования и сборе предложений заинтересованных лиц.</w:t>
      </w:r>
    </w:p>
    <w:p w14:paraId="449166A7" w14:textId="11CB2DC1" w:rsidR="0074197C" w:rsidRPr="0074197C" w:rsidRDefault="0074197C" w:rsidP="0074197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74197C">
        <w:rPr>
          <w:sz w:val="22"/>
          <w:szCs w:val="22"/>
        </w:rPr>
        <w:t xml:space="preserve">настоящее время субъекты предпринимательства, осуществляющие деятельность на основе добровольного патента по розничной реализации </w:t>
      </w:r>
      <w:proofErr w:type="gramStart"/>
      <w:r w:rsidRPr="0074197C">
        <w:rPr>
          <w:sz w:val="22"/>
          <w:szCs w:val="22"/>
        </w:rPr>
        <w:t>в бутиках</w:t>
      </w:r>
      <w:proofErr w:type="gramEnd"/>
      <w:r w:rsidRPr="0074197C">
        <w:rPr>
          <w:sz w:val="22"/>
          <w:szCs w:val="22"/>
        </w:rPr>
        <w:t xml:space="preserve"> расположенных в торговых центрах, также по розничной реализации в специализированных магазинах, торговой площадью до 50 </w:t>
      </w:r>
      <w:proofErr w:type="spellStart"/>
      <w:r w:rsidRPr="0074197C">
        <w:rPr>
          <w:sz w:val="22"/>
          <w:szCs w:val="22"/>
        </w:rPr>
        <w:t>кв.м</w:t>
      </w:r>
      <w:proofErr w:type="spellEnd"/>
      <w:r w:rsidRPr="0074197C">
        <w:rPr>
          <w:sz w:val="22"/>
          <w:szCs w:val="22"/>
        </w:rPr>
        <w:t>.</w:t>
      </w:r>
      <w:r w:rsidR="007C7091">
        <w:rPr>
          <w:sz w:val="22"/>
          <w:szCs w:val="22"/>
        </w:rPr>
        <w:t xml:space="preserve"> и</w:t>
      </w:r>
      <w:r w:rsidRPr="0074197C">
        <w:rPr>
          <w:sz w:val="22"/>
          <w:szCs w:val="22"/>
        </w:rPr>
        <w:t xml:space="preserve"> </w:t>
      </w:r>
      <w:r w:rsidR="00352BEC">
        <w:rPr>
          <w:sz w:val="22"/>
          <w:szCs w:val="22"/>
        </w:rPr>
        <w:t xml:space="preserve">рынки </w:t>
      </w:r>
      <w:r w:rsidRPr="0074197C">
        <w:rPr>
          <w:sz w:val="22"/>
          <w:szCs w:val="22"/>
        </w:rPr>
        <w:t>уплачивают фиксированную сумму.</w:t>
      </w:r>
    </w:p>
    <w:p w14:paraId="00FDE244" w14:textId="62A01F20" w:rsidR="008258F8" w:rsidRDefault="0074197C" w:rsidP="0074197C">
      <w:pPr>
        <w:pStyle w:val="a6"/>
        <w:jc w:val="both"/>
        <w:rPr>
          <w:sz w:val="22"/>
          <w:szCs w:val="22"/>
        </w:rPr>
      </w:pPr>
      <w:r w:rsidRPr="0074197C">
        <w:rPr>
          <w:sz w:val="22"/>
          <w:szCs w:val="22"/>
        </w:rPr>
        <w:t>При этом, платежи на основе добровольного патента по розничной реализации определяются в независимости от оборота. В результате чего, индивидуальные предприниматели микроуровня сталкиваются с таким же бременем, что и более успешные индивидуальные предприниматели. Соответственно, большинство предпринимателей, входящих в верхние уровни добровольных плательщиков патентного налога по розничной реализации не облагаются налогом и не имеют стимулов для роста и выхода за рамки патентного режима.</w:t>
      </w:r>
    </w:p>
    <w:p w14:paraId="5F80BCC7" w14:textId="7B832B0F" w:rsidR="008258F8" w:rsidRPr="00584337" w:rsidRDefault="002157DB" w:rsidP="0074197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За 9 месяцев 2021 года в</w:t>
      </w:r>
      <w:r w:rsidR="008258F8" w:rsidRPr="00584337">
        <w:rPr>
          <w:sz w:val="22"/>
          <w:szCs w:val="22"/>
        </w:rPr>
        <w:t xml:space="preserve">сего по республике </w:t>
      </w:r>
      <w:r w:rsidR="00F33B5A">
        <w:rPr>
          <w:sz w:val="22"/>
          <w:szCs w:val="22"/>
        </w:rPr>
        <w:t>371112</w:t>
      </w:r>
      <w:r w:rsidR="008258F8" w:rsidRPr="00584337">
        <w:rPr>
          <w:sz w:val="22"/>
          <w:szCs w:val="22"/>
        </w:rPr>
        <w:t xml:space="preserve"> - субъектов предпринимательства, осуществляют деятельность на основе добровольного патента по розничной реализации </w:t>
      </w:r>
    </w:p>
    <w:p w14:paraId="7BA4F294" w14:textId="5405043F" w:rsidR="008258F8" w:rsidRPr="00584337" w:rsidRDefault="008258F8" w:rsidP="0074197C">
      <w:pPr>
        <w:pStyle w:val="a6"/>
        <w:jc w:val="both"/>
        <w:rPr>
          <w:sz w:val="22"/>
          <w:szCs w:val="22"/>
        </w:rPr>
      </w:pPr>
      <w:r w:rsidRPr="00584337">
        <w:rPr>
          <w:sz w:val="22"/>
          <w:szCs w:val="22"/>
        </w:rPr>
        <w:t>В том числе:</w:t>
      </w:r>
    </w:p>
    <w:p w14:paraId="261D7B04" w14:textId="171C891F" w:rsidR="008258F8" w:rsidRPr="00584337" w:rsidRDefault="008258F8" w:rsidP="0074197C">
      <w:pPr>
        <w:pStyle w:val="a6"/>
        <w:jc w:val="both"/>
        <w:rPr>
          <w:sz w:val="22"/>
          <w:szCs w:val="22"/>
        </w:rPr>
      </w:pPr>
      <w:r w:rsidRPr="00584337">
        <w:rPr>
          <w:sz w:val="22"/>
          <w:szCs w:val="22"/>
        </w:rPr>
        <w:t>- в г.Бишкек-</w:t>
      </w:r>
      <w:r w:rsidR="00F33B5A">
        <w:rPr>
          <w:sz w:val="22"/>
          <w:szCs w:val="22"/>
        </w:rPr>
        <w:t>149414</w:t>
      </w:r>
      <w:r w:rsidRPr="00584337">
        <w:rPr>
          <w:sz w:val="22"/>
          <w:szCs w:val="22"/>
        </w:rPr>
        <w:t>;</w:t>
      </w:r>
    </w:p>
    <w:p w14:paraId="68E34464" w14:textId="2B2088B1" w:rsidR="008258F8" w:rsidRPr="00584337" w:rsidRDefault="008258F8" w:rsidP="0074197C">
      <w:pPr>
        <w:pStyle w:val="a6"/>
        <w:jc w:val="both"/>
        <w:rPr>
          <w:sz w:val="22"/>
          <w:szCs w:val="22"/>
        </w:rPr>
      </w:pPr>
      <w:r w:rsidRPr="00584337">
        <w:rPr>
          <w:sz w:val="22"/>
          <w:szCs w:val="22"/>
        </w:rPr>
        <w:t>- в г.Ош-</w:t>
      </w:r>
      <w:r w:rsidR="00F33B5A">
        <w:rPr>
          <w:sz w:val="22"/>
          <w:szCs w:val="22"/>
        </w:rPr>
        <w:t>21850;</w:t>
      </w:r>
    </w:p>
    <w:p w14:paraId="09F0A039" w14:textId="171DBABF" w:rsidR="008258F8" w:rsidRPr="007C7091" w:rsidRDefault="008258F8" w:rsidP="0074197C">
      <w:pPr>
        <w:pStyle w:val="a6"/>
        <w:jc w:val="both"/>
        <w:rPr>
          <w:sz w:val="22"/>
          <w:szCs w:val="22"/>
        </w:rPr>
      </w:pPr>
      <w:r w:rsidRPr="00584337">
        <w:rPr>
          <w:sz w:val="22"/>
          <w:szCs w:val="22"/>
        </w:rPr>
        <w:t>- остальные регионы</w:t>
      </w:r>
      <w:r w:rsidR="00584337" w:rsidRPr="007C7091">
        <w:rPr>
          <w:sz w:val="22"/>
          <w:szCs w:val="22"/>
        </w:rPr>
        <w:t xml:space="preserve"> </w:t>
      </w:r>
      <w:r w:rsidRPr="00584337">
        <w:rPr>
          <w:sz w:val="22"/>
          <w:szCs w:val="22"/>
        </w:rPr>
        <w:t>-</w:t>
      </w:r>
      <w:r w:rsidR="00584337" w:rsidRPr="007C7091">
        <w:rPr>
          <w:sz w:val="22"/>
          <w:szCs w:val="22"/>
        </w:rPr>
        <w:t xml:space="preserve"> </w:t>
      </w:r>
      <w:r w:rsidR="00F33B5A">
        <w:rPr>
          <w:sz w:val="22"/>
          <w:szCs w:val="22"/>
        </w:rPr>
        <w:t>199</w:t>
      </w:r>
      <w:r w:rsidRPr="00584337">
        <w:rPr>
          <w:sz w:val="22"/>
          <w:szCs w:val="22"/>
        </w:rPr>
        <w:t>8</w:t>
      </w:r>
      <w:r w:rsidR="00F33B5A">
        <w:rPr>
          <w:sz w:val="22"/>
          <w:szCs w:val="22"/>
        </w:rPr>
        <w:t>48</w:t>
      </w:r>
      <w:r w:rsidRPr="00584337">
        <w:rPr>
          <w:sz w:val="22"/>
          <w:szCs w:val="22"/>
        </w:rPr>
        <w:t>.</w:t>
      </w:r>
    </w:p>
    <w:p w14:paraId="3FF40D48" w14:textId="187A765E" w:rsidR="0074197C" w:rsidRPr="0074197C" w:rsidRDefault="008258F8" w:rsidP="008258F8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6BED">
        <w:rPr>
          <w:sz w:val="22"/>
          <w:szCs w:val="22"/>
        </w:rPr>
        <w:t>Н</w:t>
      </w:r>
      <w:r w:rsidR="0074197C" w:rsidRPr="0074197C">
        <w:rPr>
          <w:sz w:val="22"/>
          <w:szCs w:val="22"/>
        </w:rPr>
        <w:t>а практике предприниматели, уплачивающие налог на основе добровольного патента, могут заниматься реализацией товаров со складов, а также в качестве поставщиков товаров в торговые</w:t>
      </w:r>
      <w:r w:rsidR="0074197C" w:rsidRPr="0074197C">
        <w:rPr>
          <w:sz w:val="22"/>
          <w:szCs w:val="22"/>
        </w:rPr>
        <w:tab/>
        <w:t xml:space="preserve">объекты. При этом, объемы товарооборота этих предпринимателей могут превысить регистрационный порог по НДС (8,0 млн. сом в год). В этом случае, предприниматели оформляют патент на другое имя физического лица и продолжают работать, нарушая требования Налогового кодекса Кыргызской Республики (далее-Налоговый кодекс). Так, согласно статье 355 Налогового кодекса, сумма налога на основе добровольного патента является фиксированной и не подлежит пересчету после приобретения патента, в результате чего в доходную часть бюджета </w:t>
      </w:r>
      <w:proofErr w:type="spellStart"/>
      <w:r w:rsidR="0074197C" w:rsidRPr="0074197C">
        <w:rPr>
          <w:sz w:val="22"/>
          <w:szCs w:val="22"/>
        </w:rPr>
        <w:t>недопоступают</w:t>
      </w:r>
      <w:proofErr w:type="spellEnd"/>
      <w:r w:rsidR="0074197C" w:rsidRPr="0074197C">
        <w:rPr>
          <w:sz w:val="22"/>
          <w:szCs w:val="22"/>
        </w:rPr>
        <w:t xml:space="preserve"> определенные суммы налогов.</w:t>
      </w:r>
    </w:p>
    <w:p w14:paraId="10AE519C" w14:textId="1BE7164A" w:rsidR="0074197C" w:rsidRPr="0074197C" w:rsidRDefault="0074197C" w:rsidP="0074197C">
      <w:pPr>
        <w:pStyle w:val="a6"/>
        <w:jc w:val="both"/>
        <w:rPr>
          <w:sz w:val="22"/>
          <w:szCs w:val="22"/>
        </w:rPr>
      </w:pPr>
      <w:r w:rsidRPr="0074197C">
        <w:rPr>
          <w:color w:val="000000"/>
          <w:sz w:val="22"/>
          <w:szCs w:val="22"/>
        </w:rPr>
        <w:t>При этом отмеча</w:t>
      </w:r>
      <w:r w:rsidR="00666BED">
        <w:rPr>
          <w:color w:val="000000"/>
          <w:sz w:val="22"/>
          <w:szCs w:val="22"/>
        </w:rPr>
        <w:t>ется</w:t>
      </w:r>
      <w:r w:rsidRPr="0074197C">
        <w:rPr>
          <w:color w:val="000000"/>
          <w:sz w:val="22"/>
          <w:szCs w:val="22"/>
        </w:rPr>
        <w:t xml:space="preserve"> высокий уровень теневой экономики в </w:t>
      </w:r>
      <w:r w:rsidRPr="0074197C">
        <w:rPr>
          <w:sz w:val="22"/>
          <w:szCs w:val="22"/>
        </w:rPr>
        <w:t>осуществление предпринимательской деятельности на основе добровольного патента, а именно, видов деятельности, осуществляющих торговлю или услуги в стационарных точках, где имеются условия для установки ККМ-онлайн. Так как, товарооборот индивидуальных предпринимателей, работающих на добровольном патенте, трудно отследить, поскольку не требуется ведение бухгалтерского учета.</w:t>
      </w:r>
    </w:p>
    <w:p w14:paraId="0A7D87F8" w14:textId="34C34FDF" w:rsidR="0074197C" w:rsidRPr="0074197C" w:rsidRDefault="0074197C" w:rsidP="0074197C">
      <w:pPr>
        <w:pStyle w:val="a6"/>
        <w:jc w:val="both"/>
        <w:rPr>
          <w:sz w:val="22"/>
          <w:szCs w:val="22"/>
        </w:rPr>
      </w:pPr>
      <w:r w:rsidRPr="0074197C">
        <w:rPr>
          <w:color w:val="000000"/>
          <w:sz w:val="22"/>
          <w:szCs w:val="22"/>
        </w:rPr>
        <w:t xml:space="preserve">В связи с чем, </w:t>
      </w:r>
      <w:r w:rsidR="00662A22">
        <w:rPr>
          <w:color w:val="000000"/>
          <w:sz w:val="22"/>
          <w:szCs w:val="22"/>
        </w:rPr>
        <w:t>во исполнение пункта 37 Антикризисного плана действий Кабинета Министров Кыргызской Республики</w:t>
      </w:r>
      <w:r w:rsidR="00DC2418">
        <w:rPr>
          <w:color w:val="000000"/>
          <w:sz w:val="22"/>
          <w:szCs w:val="22"/>
        </w:rPr>
        <w:t xml:space="preserve"> </w:t>
      </w:r>
      <w:r w:rsidR="00DC2418" w:rsidRPr="00DC2418">
        <w:rPr>
          <w:color w:val="000000"/>
          <w:sz w:val="22"/>
          <w:szCs w:val="22"/>
        </w:rPr>
        <w:t>на второе полугодие 2021 года</w:t>
      </w:r>
      <w:r w:rsidR="00662A22">
        <w:rPr>
          <w:color w:val="000000"/>
          <w:sz w:val="22"/>
          <w:szCs w:val="22"/>
        </w:rPr>
        <w:t>, утвержденного Распоряжением Кабинета Министров Кыргызской Республики от 3</w:t>
      </w:r>
      <w:r w:rsidR="00DC2418">
        <w:rPr>
          <w:color w:val="000000"/>
          <w:sz w:val="22"/>
          <w:szCs w:val="22"/>
        </w:rPr>
        <w:t>0</w:t>
      </w:r>
      <w:r w:rsidR="00662A22">
        <w:rPr>
          <w:color w:val="000000"/>
          <w:sz w:val="22"/>
          <w:szCs w:val="22"/>
        </w:rPr>
        <w:t>.07.2021 года №126 предлагается исключить из</w:t>
      </w:r>
      <w:r w:rsidR="00D1682C">
        <w:rPr>
          <w:color w:val="000000"/>
          <w:sz w:val="22"/>
          <w:szCs w:val="22"/>
        </w:rPr>
        <w:t xml:space="preserve"> Базовой суммы налога на основе добровольного патента для </w:t>
      </w:r>
      <w:r w:rsidR="00D1682C" w:rsidRPr="0074197C">
        <w:rPr>
          <w:color w:val="000000"/>
          <w:sz w:val="22"/>
          <w:szCs w:val="22"/>
        </w:rPr>
        <w:t>индивидуальн</w:t>
      </w:r>
      <w:r w:rsidR="00D1682C">
        <w:rPr>
          <w:color w:val="000000"/>
          <w:sz w:val="22"/>
          <w:szCs w:val="22"/>
        </w:rPr>
        <w:t>ой</w:t>
      </w:r>
      <w:r w:rsidR="00D1682C" w:rsidRPr="0074197C">
        <w:rPr>
          <w:color w:val="000000"/>
          <w:sz w:val="22"/>
          <w:szCs w:val="22"/>
        </w:rPr>
        <w:t xml:space="preserve"> предпринимательской деятельности</w:t>
      </w:r>
      <w:r w:rsidR="00D1682C">
        <w:rPr>
          <w:color w:val="000000"/>
          <w:sz w:val="22"/>
          <w:szCs w:val="22"/>
        </w:rPr>
        <w:t xml:space="preserve">, утвержденного  </w:t>
      </w:r>
      <w:r w:rsidRPr="0074197C">
        <w:rPr>
          <w:color w:val="000000"/>
          <w:sz w:val="22"/>
          <w:szCs w:val="22"/>
        </w:rPr>
        <w:t>постановление</w:t>
      </w:r>
      <w:r w:rsidR="00D1682C">
        <w:rPr>
          <w:color w:val="000000"/>
          <w:sz w:val="22"/>
          <w:szCs w:val="22"/>
        </w:rPr>
        <w:t>м</w:t>
      </w:r>
      <w:r w:rsidRPr="0074197C">
        <w:rPr>
          <w:color w:val="000000"/>
          <w:sz w:val="22"/>
          <w:szCs w:val="22"/>
        </w:rPr>
        <w:t xml:space="preserve"> Правительства Кыргызской Республики «Об утверждении базовой суммы налога на основе добровольного патента по видам деятельности» от 25 июня 2015 года № 418 </w:t>
      </w:r>
      <w:r w:rsidR="00D1682C">
        <w:rPr>
          <w:color w:val="000000"/>
          <w:sz w:val="22"/>
          <w:szCs w:val="22"/>
        </w:rPr>
        <w:t xml:space="preserve">виды деятельности </w:t>
      </w:r>
      <w:r w:rsidRPr="0074197C">
        <w:rPr>
          <w:color w:val="000000"/>
          <w:sz w:val="22"/>
          <w:szCs w:val="22"/>
        </w:rPr>
        <w:t xml:space="preserve">добровольного патента для </w:t>
      </w:r>
      <w:r w:rsidR="00D1682C">
        <w:rPr>
          <w:color w:val="000000"/>
          <w:sz w:val="22"/>
          <w:szCs w:val="22"/>
        </w:rPr>
        <w:t xml:space="preserve">розничной торговли в </w:t>
      </w:r>
      <w:r w:rsidRPr="0074197C">
        <w:rPr>
          <w:color w:val="000000"/>
          <w:sz w:val="22"/>
          <w:szCs w:val="22"/>
        </w:rPr>
        <w:t>которы</w:t>
      </w:r>
      <w:r w:rsidR="00D1682C">
        <w:rPr>
          <w:color w:val="000000"/>
          <w:sz w:val="22"/>
          <w:szCs w:val="22"/>
        </w:rPr>
        <w:t>х</w:t>
      </w:r>
      <w:r w:rsidRPr="0074197C">
        <w:rPr>
          <w:color w:val="000000"/>
          <w:sz w:val="22"/>
          <w:szCs w:val="22"/>
        </w:rPr>
        <w:t xml:space="preserve"> </w:t>
      </w:r>
      <w:r w:rsidRPr="0074197C">
        <w:rPr>
          <w:sz w:val="22"/>
          <w:szCs w:val="22"/>
        </w:rPr>
        <w:t>имеются условия для установки ККМ-онлайн</w:t>
      </w:r>
      <w:r w:rsidRPr="0074197C">
        <w:rPr>
          <w:color w:val="000000"/>
          <w:sz w:val="22"/>
          <w:szCs w:val="22"/>
        </w:rPr>
        <w:t>.</w:t>
      </w:r>
    </w:p>
    <w:p w14:paraId="0CD5F4B6" w14:textId="5B5818CE" w:rsidR="0074197C" w:rsidRDefault="0074197C" w:rsidP="0074197C">
      <w:pPr>
        <w:pStyle w:val="a6"/>
        <w:jc w:val="both"/>
        <w:rPr>
          <w:sz w:val="22"/>
          <w:szCs w:val="22"/>
        </w:rPr>
      </w:pPr>
      <w:r w:rsidRPr="0074197C">
        <w:rPr>
          <w:sz w:val="22"/>
          <w:szCs w:val="22"/>
        </w:rPr>
        <w:t xml:space="preserve">Также следует отметить, что в настоящее время ведутся полномасштабные работы по внедрению механизма использования </w:t>
      </w:r>
      <w:r w:rsidR="00D1682C">
        <w:rPr>
          <w:sz w:val="22"/>
          <w:szCs w:val="22"/>
        </w:rPr>
        <w:t xml:space="preserve">ККМ </w:t>
      </w:r>
      <w:r w:rsidRPr="0074197C">
        <w:rPr>
          <w:sz w:val="22"/>
          <w:szCs w:val="22"/>
        </w:rPr>
        <w:t xml:space="preserve">с функцией передачи данных в режиме онлайн, который предусматривает использование налогоплательщиками </w:t>
      </w:r>
      <w:r w:rsidR="00D1682C">
        <w:rPr>
          <w:sz w:val="22"/>
          <w:szCs w:val="22"/>
        </w:rPr>
        <w:t xml:space="preserve">ККМ </w:t>
      </w:r>
      <w:r w:rsidRPr="0074197C">
        <w:rPr>
          <w:sz w:val="22"/>
          <w:szCs w:val="22"/>
        </w:rPr>
        <w:t>с устройством передачи данных в реальном времени в сервер налоговой службы, который позволит отслеживать фактическую выручку торговой точки, торговли и услуг. Соответственно, этот механизм дает толчок к сокращению деятельности, основанной на добровольных патентах.</w:t>
      </w:r>
    </w:p>
    <w:p w14:paraId="0456CC3F" w14:textId="77777777" w:rsidR="00CF46BA" w:rsidRDefault="00CF46BA" w:rsidP="00CF46BA">
      <w:pPr>
        <w:pStyle w:val="a6"/>
        <w:jc w:val="both"/>
        <w:rPr>
          <w:sz w:val="22"/>
          <w:szCs w:val="22"/>
        </w:rPr>
      </w:pPr>
      <w:r w:rsidRPr="0074197C">
        <w:rPr>
          <w:sz w:val="22"/>
          <w:szCs w:val="22"/>
        </w:rPr>
        <w:t>Основной целью государственного регулирования является: защита внутреннего рынка, также создание равных условий для предпринимателей, пополнение доходной части бюджета Кыргызской Республики.</w:t>
      </w:r>
    </w:p>
    <w:p w14:paraId="179BEEBD" w14:textId="5DBC6F66" w:rsidR="00CF46BA" w:rsidRDefault="00CF46BA" w:rsidP="00CF46BA">
      <w:pPr>
        <w:pStyle w:val="a6"/>
        <w:jc w:val="both"/>
        <w:rPr>
          <w:sz w:val="22"/>
          <w:szCs w:val="22"/>
        </w:rPr>
      </w:pPr>
      <w:r w:rsidRPr="00CF46BA">
        <w:rPr>
          <w:sz w:val="22"/>
          <w:szCs w:val="22"/>
        </w:rPr>
        <w:lastRenderedPageBreak/>
        <w:t xml:space="preserve">Основными задачами вышеуказанного проекта постановления является </w:t>
      </w:r>
      <w:r w:rsidRPr="0074197C">
        <w:rPr>
          <w:sz w:val="22"/>
          <w:szCs w:val="22"/>
        </w:rPr>
        <w:t>сокращение видов деятельности на основе добровольного патента, а именно, видов деятельности, осуществляющих торговлю в стационарных точках, где имеются условия для установки ККМ-онлайн и предприниматели могут уплачивать налоги от фактического товарооборота.</w:t>
      </w:r>
    </w:p>
    <w:p w14:paraId="07551563" w14:textId="1E9CB754" w:rsidR="00666BED" w:rsidRPr="0074197C" w:rsidRDefault="00666BED" w:rsidP="00CF46BA">
      <w:pPr>
        <w:pStyle w:val="a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Предлагаемые изменения </w:t>
      </w:r>
      <w:r w:rsidRPr="0074197C">
        <w:rPr>
          <w:sz w:val="22"/>
          <w:szCs w:val="22"/>
        </w:rPr>
        <w:t>к вышеуказанному постановлению, позволит обеспечить:</w:t>
      </w:r>
    </w:p>
    <w:p w14:paraId="7DF8F3CA" w14:textId="77777777" w:rsidR="0074197C" w:rsidRPr="0074197C" w:rsidRDefault="0074197C" w:rsidP="00CF46BA">
      <w:pPr>
        <w:pStyle w:val="a6"/>
        <w:jc w:val="both"/>
        <w:rPr>
          <w:sz w:val="22"/>
          <w:szCs w:val="22"/>
        </w:rPr>
      </w:pPr>
      <w:r w:rsidRPr="0074197C">
        <w:rPr>
          <w:sz w:val="22"/>
          <w:szCs w:val="22"/>
        </w:rPr>
        <w:t>- создание благоприятных условий и улучшение бизнес – среды;</w:t>
      </w:r>
    </w:p>
    <w:p w14:paraId="52AD974D" w14:textId="77777777" w:rsidR="0074197C" w:rsidRPr="0074197C" w:rsidRDefault="0074197C" w:rsidP="0074197C">
      <w:pPr>
        <w:pStyle w:val="a6"/>
        <w:jc w:val="both"/>
        <w:rPr>
          <w:sz w:val="22"/>
          <w:szCs w:val="22"/>
        </w:rPr>
      </w:pPr>
      <w:r w:rsidRPr="0074197C">
        <w:rPr>
          <w:sz w:val="22"/>
          <w:szCs w:val="22"/>
        </w:rPr>
        <w:t>- исключение коррупционных схем, порождающих и сопровождающих коррупцию;</w:t>
      </w:r>
    </w:p>
    <w:p w14:paraId="689235D1" w14:textId="77777777" w:rsidR="0074197C" w:rsidRPr="0074197C" w:rsidRDefault="0074197C" w:rsidP="0074197C">
      <w:pPr>
        <w:pStyle w:val="a6"/>
        <w:jc w:val="both"/>
        <w:rPr>
          <w:sz w:val="22"/>
          <w:szCs w:val="22"/>
        </w:rPr>
      </w:pPr>
      <w:r w:rsidRPr="0074197C">
        <w:rPr>
          <w:sz w:val="22"/>
          <w:szCs w:val="22"/>
        </w:rPr>
        <w:t>- упрощение налогообложения с эффективным налоговым администрированием;</w:t>
      </w:r>
    </w:p>
    <w:p w14:paraId="4C2792C1" w14:textId="77777777" w:rsidR="0074197C" w:rsidRPr="0074197C" w:rsidRDefault="0074197C" w:rsidP="0074197C">
      <w:pPr>
        <w:pStyle w:val="a6"/>
        <w:jc w:val="both"/>
        <w:rPr>
          <w:sz w:val="22"/>
          <w:szCs w:val="22"/>
        </w:rPr>
      </w:pPr>
      <w:r w:rsidRPr="0074197C">
        <w:rPr>
          <w:sz w:val="22"/>
          <w:szCs w:val="22"/>
        </w:rPr>
        <w:t>-  конкурентоспособности среди предпринимательства и обеспечение равных прав по уплате налогов от фактического товарооборота;</w:t>
      </w:r>
    </w:p>
    <w:p w14:paraId="2535CB4F" w14:textId="6CB8BC06" w:rsidR="0074197C" w:rsidRPr="0074197C" w:rsidRDefault="0074197C" w:rsidP="0074197C">
      <w:pPr>
        <w:pStyle w:val="a6"/>
        <w:jc w:val="both"/>
        <w:rPr>
          <w:sz w:val="22"/>
          <w:szCs w:val="22"/>
        </w:rPr>
      </w:pPr>
      <w:r w:rsidRPr="0074197C">
        <w:rPr>
          <w:sz w:val="22"/>
          <w:szCs w:val="22"/>
        </w:rPr>
        <w:t>- экономия времени налогоплательщиков.</w:t>
      </w:r>
    </w:p>
    <w:p w14:paraId="1BC55D55" w14:textId="00214E03" w:rsidR="0074197C" w:rsidRDefault="0074197C" w:rsidP="0074197C">
      <w:pPr>
        <w:pStyle w:val="a6"/>
        <w:jc w:val="both"/>
        <w:rPr>
          <w:sz w:val="22"/>
          <w:szCs w:val="22"/>
        </w:rPr>
      </w:pPr>
      <w:r w:rsidRPr="0074197C">
        <w:rPr>
          <w:sz w:val="22"/>
          <w:szCs w:val="22"/>
        </w:rPr>
        <w:t>- избавления от бумажных документов и распечатки электронных разрешительных документов.</w:t>
      </w:r>
    </w:p>
    <w:p w14:paraId="065F93E8" w14:textId="1BB9DB2A" w:rsidR="0074197C" w:rsidRPr="0074197C" w:rsidRDefault="0074197C" w:rsidP="00CF46BA">
      <w:pPr>
        <w:pStyle w:val="a6"/>
        <w:jc w:val="both"/>
        <w:rPr>
          <w:sz w:val="22"/>
          <w:szCs w:val="22"/>
        </w:rPr>
      </w:pPr>
      <w:r w:rsidRPr="00CF46BA">
        <w:rPr>
          <w:sz w:val="22"/>
          <w:szCs w:val="22"/>
        </w:rPr>
        <w:t>Принятие предлагаемого проекта не предусматривает выделения средств из государственного бюджета.</w:t>
      </w:r>
    </w:p>
    <w:p w14:paraId="6769C02C" w14:textId="77777777" w:rsidR="0074197C" w:rsidRPr="00CF46BA" w:rsidRDefault="0074197C" w:rsidP="0074197C">
      <w:pPr>
        <w:pStyle w:val="a6"/>
        <w:jc w:val="both"/>
        <w:rPr>
          <w:sz w:val="22"/>
          <w:szCs w:val="22"/>
        </w:rPr>
      </w:pPr>
    </w:p>
    <w:p w14:paraId="755249F2" w14:textId="77777777" w:rsidR="001D4BD8" w:rsidRDefault="001D4BD8" w:rsidP="00CF46BA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Контакты и сроки для обсуждения информации уведомления:</w:t>
      </w:r>
    </w:p>
    <w:p w14:paraId="70EBCCB6" w14:textId="77777777" w:rsidR="001D4BD8" w:rsidRDefault="001D4BD8" w:rsidP="001D4BD8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21"/>
      </w:tblGrid>
      <w:tr w:rsidR="001D4BD8" w14:paraId="7839ECAD" w14:textId="77777777" w:rsidTr="0051349D"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4F71" w14:textId="77777777" w:rsidR="001D4BD8" w:rsidRDefault="001D4BD8" w:rsidP="0051349D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Предложения принимаются: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5620" w14:textId="77777777" w:rsidR="001D4BD8" w:rsidRDefault="001D4BD8" w:rsidP="0051349D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1D4BD8" w:rsidRPr="00AC772A" w14:paraId="0DC60DBD" w14:textId="77777777" w:rsidTr="0051349D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ADFE" w14:textId="77777777" w:rsidR="001D4BD8" w:rsidRDefault="001D4BD8" w:rsidP="0051349D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 электронной почте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3D272" w14:textId="77777777" w:rsidR="0074197C" w:rsidRDefault="001D4BD8" w:rsidP="0051349D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y-KG" w:eastAsia="en-US"/>
              </w:rPr>
              <w:t>62-05-35 (+</w:t>
            </w:r>
            <w:r w:rsidR="003638E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284</w:t>
            </w:r>
            <w:r>
              <w:rPr>
                <w:rFonts w:ascii="Times New Roman" w:hAnsi="Times New Roman" w:cs="Times New Roman"/>
                <w:sz w:val="22"/>
                <w:szCs w:val="22"/>
                <w:lang w:val="ky-KG" w:eastAsia="en-US"/>
              </w:rPr>
              <w:t xml:space="preserve">),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e-mail: </w:t>
            </w:r>
          </w:p>
          <w:p w14:paraId="7CD4E0EE" w14:textId="4419905B" w:rsidR="001D4BD8" w:rsidRDefault="003638E8" w:rsidP="0051349D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a-usenalieva</w:t>
            </w:r>
            <w:r w:rsidR="001D4BD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@mail.ru</w:t>
            </w:r>
          </w:p>
        </w:tc>
      </w:tr>
      <w:tr w:rsidR="001D4BD8" w14:paraId="1CB7193D" w14:textId="77777777" w:rsidTr="0051349D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C822" w14:textId="77777777" w:rsidR="001D4BD8" w:rsidRDefault="001D4BD8" w:rsidP="0051349D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на почтовый адрес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F63DE" w14:textId="77777777" w:rsidR="001D4BD8" w:rsidRDefault="001D4BD8" w:rsidP="0051349D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720002,  г.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Бишкек, Чуй проспект, 106</w:t>
            </w:r>
          </w:p>
        </w:tc>
      </w:tr>
      <w:tr w:rsidR="001D4BD8" w14:paraId="63E9F59D" w14:textId="77777777" w:rsidTr="0051349D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FE9F" w14:textId="77777777" w:rsidR="001D4BD8" w:rsidRDefault="001D4BD8" w:rsidP="0051349D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Срок приема предложений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7DBDA" w14:textId="6407C251" w:rsidR="001D4BD8" w:rsidRDefault="001D4BD8" w:rsidP="0051349D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="00666B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58433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666B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0.2021 год)</w:t>
            </w:r>
          </w:p>
        </w:tc>
      </w:tr>
      <w:tr w:rsidR="001D4BD8" w14:paraId="5DCA7574" w14:textId="77777777" w:rsidTr="0051349D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6373" w14:textId="77777777" w:rsidR="001D4BD8" w:rsidRDefault="001D4BD8" w:rsidP="0051349D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FD54" w14:textId="4577AF0E" w:rsidR="001D4BD8" w:rsidRDefault="001D4BD8" w:rsidP="0051349D">
            <w:pPr>
              <w:pStyle w:val="tkTablica"/>
              <w:spacing w:after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="00B162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666B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.2021 год)</w:t>
            </w:r>
          </w:p>
        </w:tc>
      </w:tr>
    </w:tbl>
    <w:p w14:paraId="3B08B93C" w14:textId="77777777" w:rsidR="001D4BD8" w:rsidRDefault="001D4BD8" w:rsidP="001D4BD8">
      <w:pPr>
        <w:spacing w:after="0"/>
        <w:ind w:firstLine="708"/>
        <w:contextualSpacing/>
        <w:jc w:val="both"/>
        <w:rPr>
          <w:sz w:val="22"/>
          <w:szCs w:val="22"/>
          <w:lang w:val="ky-KG"/>
        </w:rPr>
      </w:pPr>
    </w:p>
    <w:p w14:paraId="58B70152" w14:textId="77777777" w:rsidR="001D4BD8" w:rsidRDefault="001D4BD8" w:rsidP="001D4BD8"/>
    <w:p w14:paraId="773CFD9F" w14:textId="77777777" w:rsidR="00BC1D62" w:rsidRDefault="00BC1D62"/>
    <w:sectPr w:rsidR="00BC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FF"/>
    <w:rsid w:val="000150A4"/>
    <w:rsid w:val="001D4BD8"/>
    <w:rsid w:val="002157DB"/>
    <w:rsid w:val="00352BEC"/>
    <w:rsid w:val="00356C0D"/>
    <w:rsid w:val="003638E8"/>
    <w:rsid w:val="00584337"/>
    <w:rsid w:val="005F6DC4"/>
    <w:rsid w:val="00662A22"/>
    <w:rsid w:val="00666BED"/>
    <w:rsid w:val="0074197C"/>
    <w:rsid w:val="007C7091"/>
    <w:rsid w:val="008258F8"/>
    <w:rsid w:val="008D59C5"/>
    <w:rsid w:val="009F2884"/>
    <w:rsid w:val="009F378A"/>
    <w:rsid w:val="00AC772A"/>
    <w:rsid w:val="00B1622D"/>
    <w:rsid w:val="00BC1D62"/>
    <w:rsid w:val="00CF46BA"/>
    <w:rsid w:val="00D1682C"/>
    <w:rsid w:val="00D957FF"/>
    <w:rsid w:val="00DC2418"/>
    <w:rsid w:val="00F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7CFD"/>
  <w15:chartTrackingRefBased/>
  <w15:docId w15:val="{6274E39C-348E-4BE0-8C56-49C29335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BD8"/>
    <w:pPr>
      <w:spacing w:after="20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1D4BD8"/>
    <w:pPr>
      <w:spacing w:before="400" w:after="4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D4BD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1D4BD8"/>
    <w:pPr>
      <w:spacing w:after="60" w:line="276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638E8"/>
    <w:pPr>
      <w:spacing w:after="0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638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74197C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197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4197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К. Усеналиева</dc:creator>
  <cp:keywords/>
  <dc:description/>
  <cp:lastModifiedBy>Айнура К. Усеналиева</cp:lastModifiedBy>
  <cp:revision>4</cp:revision>
  <cp:lastPrinted>2021-10-14T11:12:00Z</cp:lastPrinted>
  <dcterms:created xsi:type="dcterms:W3CDTF">2021-10-14T08:45:00Z</dcterms:created>
  <dcterms:modified xsi:type="dcterms:W3CDTF">2021-10-14T11:19:00Z</dcterms:modified>
</cp:coreProperties>
</file>