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6E" w:rsidRDefault="000956FC">
      <w:pPr>
        <w:spacing w:before="160"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транспорта и дорог Кыргызской Республики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76E" w:rsidRDefault="000956FC">
      <w:pPr>
        <w:spacing w:before="160" w:after="160" w:line="240" w:lineRule="auto"/>
        <w:ind w:left="5103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>«Утверждаю»</w:t>
      </w:r>
    </w:p>
    <w:p w:rsidR="0061576E" w:rsidRDefault="000956FC">
      <w:pPr>
        <w:spacing w:before="160" w:after="0" w:line="240" w:lineRule="auto"/>
        <w:ind w:left="510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министра </w:t>
      </w:r>
    </w:p>
    <w:p w:rsidR="0061576E" w:rsidRDefault="000956FC">
      <w:pPr>
        <w:spacing w:before="160" w:after="0" w:line="240" w:lineRule="auto"/>
        <w:ind w:left="510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Калилов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__________________</w:t>
      </w:r>
    </w:p>
    <w:p w:rsidR="0061576E" w:rsidRDefault="000956FC">
      <w:pPr>
        <w:spacing w:after="16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подпись</w:t>
      </w:r>
    </w:p>
    <w:p w:rsidR="0061576E" w:rsidRDefault="000956FC">
      <w:pPr>
        <w:spacing w:before="160" w:after="160" w:line="240" w:lineRule="auto"/>
        <w:ind w:left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«______» ____________________2018 г.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0956F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theme="majorBidi"/>
          <w:b/>
          <w:smallCaps/>
          <w:color w:val="000000" w:themeColor="text1"/>
          <w:sz w:val="28"/>
          <w:szCs w:val="32"/>
          <w:lang w:eastAsia="ru-RU"/>
        </w:rPr>
      </w:pPr>
      <w:bookmarkStart w:id="0" w:name="_Toc518468945"/>
      <w:r>
        <w:rPr>
          <w:rFonts w:ascii="Times New Roman" w:eastAsiaTheme="majorEastAsia" w:hAnsi="Times New Roman" w:cstheme="majorBidi"/>
          <w:b/>
          <w:smallCaps/>
          <w:color w:val="000000" w:themeColor="text1"/>
          <w:sz w:val="28"/>
          <w:szCs w:val="32"/>
          <w:lang w:eastAsia="ru-RU"/>
        </w:rPr>
        <w:t>Анализ регулятивного воздействия</w:t>
      </w:r>
      <w:bookmarkEnd w:id="0"/>
      <w:r>
        <w:rPr>
          <w:rFonts w:ascii="Times New Roman" w:eastAsiaTheme="majorEastAsia" w:hAnsi="Times New Roman" w:cstheme="majorBidi"/>
          <w:b/>
          <w:smallCaps/>
          <w:color w:val="000000" w:themeColor="text1"/>
          <w:sz w:val="28"/>
          <w:szCs w:val="32"/>
          <w:lang w:eastAsia="ru-RU"/>
        </w:rPr>
        <w:t xml:space="preserve"> </w:t>
      </w:r>
    </w:p>
    <w:p w:rsidR="0061576E" w:rsidRDefault="000956FC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Кыргызской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и в Закон Кыргызской Республики «Об автомобильных дорогах»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Основание для разработки: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транспорта и дорог Кыргызской Республики от 30.10.2018 года №298 «О создании рабочей группы для разработки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регулятивного воздействия (АРВ) к проекту закона Кыргызской Республики «О внесении изменений в Закон Кыргызской Республики «Об автомобильных дорогах». 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Срок проведения АРВ: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октябрь 2018 г.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  <w:t>Рабочая группа: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30"/>
        <w:gridCol w:w="2215"/>
      </w:tblGrid>
      <w:tr w:rsidR="0061576E">
        <w:tc>
          <w:tcPr>
            <w:tcW w:w="4111" w:type="dxa"/>
          </w:tcPr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автомобильных дорог Министерства транспорта и дорог Кыргызской Республики</w:t>
            </w:r>
          </w:p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Группы консультантов по содействию в проведении мероприятий по реформированию системы управления дорожной отрасли Министерства транспорта и дорог Кы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ргызской Республики </w:t>
            </w:r>
          </w:p>
        </w:tc>
        <w:tc>
          <w:tcPr>
            <w:tcW w:w="3030" w:type="dxa"/>
          </w:tcPr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Алыпсатаров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Кайынбаев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76E">
        <w:tc>
          <w:tcPr>
            <w:tcW w:w="4111" w:type="dxa"/>
          </w:tcPr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Главный специалист Управления автомобильных дорог Министерства транспорта и дорог Кыргызской Республики</w:t>
            </w:r>
          </w:p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Управления экономики и финансов Министерства транспорта и дорог Кыргызской Респ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ублики</w:t>
            </w:r>
          </w:p>
        </w:tc>
        <w:tc>
          <w:tcPr>
            <w:tcW w:w="3030" w:type="dxa"/>
          </w:tcPr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Бейшеев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Чолуев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 </w:t>
            </w:r>
          </w:p>
        </w:tc>
      </w:tr>
      <w:tr w:rsidR="0061576E">
        <w:tc>
          <w:tcPr>
            <w:tcW w:w="4111" w:type="dxa"/>
          </w:tcPr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Юрист Группы консультантов Министерства транспорта и дорог Кыргызской Республики </w:t>
            </w:r>
          </w:p>
        </w:tc>
        <w:tc>
          <w:tcPr>
            <w:tcW w:w="3030" w:type="dxa"/>
          </w:tcPr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Талантбек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</w:tr>
      <w:tr w:rsidR="0061576E">
        <w:tc>
          <w:tcPr>
            <w:tcW w:w="4111" w:type="dxa"/>
          </w:tcPr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 по экономике и финансам Группы консультантов Министерства транспорта и дорог Кыргызской Республики</w:t>
            </w:r>
          </w:p>
        </w:tc>
        <w:tc>
          <w:tcPr>
            <w:tcW w:w="3030" w:type="dxa"/>
          </w:tcPr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</w:t>
            </w:r>
          </w:p>
        </w:tc>
      </w:tr>
      <w:tr w:rsidR="0061576E">
        <w:tc>
          <w:tcPr>
            <w:tcW w:w="4111" w:type="dxa"/>
          </w:tcPr>
          <w:p w:rsidR="0061576E" w:rsidRDefault="000956FC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Директор общественного объединения перевозчиков нефтепродуктов Кыргызстана (ОПНК) </w:t>
            </w:r>
          </w:p>
        </w:tc>
        <w:tc>
          <w:tcPr>
            <w:tcW w:w="3030" w:type="dxa"/>
          </w:tcPr>
          <w:p w:rsidR="0061576E" w:rsidRDefault="0061576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Джамбоев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Чолпонбек</w:t>
            </w:r>
            <w:proofErr w:type="spellEnd"/>
          </w:p>
          <w:p w:rsidR="0061576E" w:rsidRDefault="000956F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61576E" w:rsidRDefault="0061576E">
      <w:pPr>
        <w:spacing w:before="160" w:after="160" w:line="240" w:lineRule="auto"/>
        <w:jc w:val="both"/>
        <w:rPr>
          <w:rFonts w:ascii="Times New Roman" w:eastAsiaTheme="majorEastAsia" w:hAnsi="Times New Roman" w:cs="Times New Roman"/>
          <w:bCs/>
          <w:color w:val="FF0000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Theme="majorEastAsia" w:hAnsi="Times New Roman" w:cs="Times New Roman"/>
          <w:bCs/>
          <w:color w:val="000000"/>
          <w:sz w:val="20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ответственных лиц: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Кайнбаев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kaynbaev</w:t>
        </w:r>
        <w:r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тел. (312) 31-48-17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42, Министерство транспорта и дорог Кыргызской Республики 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–  17 страниц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1576E" w:rsidRDefault="000956F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61576E" w:rsidRDefault="000956FC">
      <w:pPr>
        <w:keepNext/>
        <w:keepLines/>
        <w:spacing w:before="240" w:after="240" w:line="240" w:lineRule="auto"/>
        <w:jc w:val="both"/>
        <w:outlineLvl w:val="1"/>
        <w:rPr>
          <w:rFonts w:ascii="Times New Roman" w:eastAsiaTheme="majorEastAsia" w:hAnsi="Times New Roman" w:cstheme="majorBidi"/>
          <w:b/>
          <w:smallCaps/>
          <w:sz w:val="24"/>
          <w:szCs w:val="26"/>
          <w:lang w:eastAsia="ru-RU"/>
        </w:rPr>
      </w:pPr>
      <w:bookmarkStart w:id="1" w:name="_Toc518468946"/>
      <w:r>
        <w:rPr>
          <w:rFonts w:ascii="Times New Roman" w:eastAsiaTheme="majorEastAsia" w:hAnsi="Times New Roman" w:cstheme="majorBidi"/>
          <w:b/>
          <w:smallCaps/>
          <w:sz w:val="24"/>
          <w:szCs w:val="26"/>
          <w:lang w:eastAsia="ru-RU"/>
        </w:rPr>
        <w:lastRenderedPageBreak/>
        <w:t>Оглавление</w:t>
      </w:r>
      <w:bookmarkEnd w:id="1"/>
    </w:p>
    <w:p w:rsidR="0061576E" w:rsidRDefault="000956FC">
      <w:pPr>
        <w:numPr>
          <w:ilvl w:val="0"/>
          <w:numId w:val="8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проблемы                                                                                  4 </w:t>
      </w:r>
    </w:p>
    <w:p w:rsidR="0061576E" w:rsidRDefault="0061576E">
      <w:p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numPr>
          <w:ilvl w:val="0"/>
          <w:numId w:val="8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проблемы                                                                                   5</w:t>
      </w:r>
    </w:p>
    <w:p w:rsidR="0061576E" w:rsidRDefault="000956FC">
      <w:pPr>
        <w:numPr>
          <w:ilvl w:val="0"/>
          <w:numId w:val="8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опыт решения проблемы                                            6</w:t>
      </w:r>
    </w:p>
    <w:p w:rsidR="0061576E" w:rsidRDefault="000956FC">
      <w:pPr>
        <w:numPr>
          <w:ilvl w:val="0"/>
          <w:numId w:val="8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государственного регулирования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</w:t>
      </w:r>
    </w:p>
    <w:p w:rsidR="0061576E" w:rsidRDefault="000956FC">
      <w:pPr>
        <w:numPr>
          <w:ilvl w:val="0"/>
          <w:numId w:val="8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арианты решения проблемы                                                                  7                              </w:t>
      </w:r>
    </w:p>
    <w:p w:rsidR="0061576E" w:rsidRDefault="000956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 «Оставить все как есть»                                                           7</w:t>
      </w:r>
    </w:p>
    <w:p w:rsidR="0061576E" w:rsidRDefault="000956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 «Принять предс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тавленный законопроект»                           8           </w:t>
      </w:r>
    </w:p>
    <w:p w:rsidR="0061576E" w:rsidRDefault="000956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 «Поднятие ставки  акцизов на бензин»                                14</w:t>
      </w:r>
    </w:p>
    <w:p w:rsidR="0061576E" w:rsidRDefault="0061576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Рекомендуемое регулирование                                                                 17</w:t>
      </w:r>
    </w:p>
    <w:p w:rsidR="0061576E" w:rsidRDefault="000956F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  <w:bookmarkStart w:id="2" w:name="_Описание_проблем"/>
      <w:bookmarkStart w:id="3" w:name="_Toc518468948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проблем</w:t>
      </w:r>
      <w:bookmarkEnd w:id="3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ы. 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дорожной отрасли в общественной и экономической жизни страны. </w:t>
      </w:r>
      <w:r>
        <w:rPr>
          <w:rFonts w:ascii="Times New Roman" w:hAnsi="Times New Roman" w:cs="Times New Roman"/>
          <w:sz w:val="24"/>
          <w:szCs w:val="24"/>
        </w:rPr>
        <w:t>Роль дорожной отрасли четко обозначена в Основных направлениях развития дорожной отрасли (ОНРДО) на 2016-2025 годы, утвержденной постановлением Правительства Кыргызской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№372 от 1.06.2016 года, где сказано, что 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дорожная сеть является одним из крупнейших активов Кыргызской Республики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стоимость которой можно измерить через финансовые затраты на ее строительство, или через социальные и экономические выгоды, котор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ые она обеспечивает.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Автомобильный транспорт, вследствие географического положения Кыргызской Республики, составляет основную часть транспортного сектора страны и является связующим звеном в развитии других секторов экономики. Автотранспорт обеспечивает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рядка 94% от общего объема грузоперевозок и более 98% пассажирских перевозок.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Качество жизни населения и предпринимательства имеет прямую зависимость от транспортно-эксплуатационного состояния автомобильных дорог и их развитости. Хорошее состояние дорог сп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особствует сокращению транспортных расходов и экономическому росту. Если позволить дорогам разрушаться из-за недостаточного объема финансирования на их содержание, то все общество будет ощущать на себе последствия такого отношения.</w:t>
      </w:r>
    </w:p>
    <w:p w:rsidR="0061576E" w:rsidRDefault="000956FC">
      <w:pPr>
        <w:spacing w:before="160"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сирования дорожной отрасли за период 2010-2017 гг. выявил существенные факторы (корневые проблемы), негативно отражающиеся на общем состоянии дорожного хозяйства страны. Ключевыми среди них являются следующие:</w:t>
      </w:r>
    </w:p>
    <w:p w:rsidR="0061576E" w:rsidRDefault="000956FC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недостаточность бюджетного 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ансирования дорожной отрасли; </w:t>
      </w:r>
    </w:p>
    <w:p w:rsidR="0061576E" w:rsidRDefault="000956FC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бюджета дорожного сектора от внешних источников финансирования; </w:t>
      </w:r>
    </w:p>
    <w:p w:rsidR="0061576E" w:rsidRDefault="000956FC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Слабости администрирования дорожной отрасли и, как следствие, необходимость скорейшего проведения реформы управления в дорожной отрасли.</w:t>
      </w:r>
    </w:p>
    <w:p w:rsidR="0061576E" w:rsidRDefault="000956FC">
      <w:pPr>
        <w:numPr>
          <w:ilvl w:val="1"/>
          <w:numId w:val="5"/>
        </w:numPr>
        <w:spacing w:before="160" w:after="160" w:line="240" w:lineRule="auto"/>
        <w:contextualSpacing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Дорожная от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расль, без учета программы государственных инвестиций, финансируется в пределах 35 процентов от потребностей на содержание и ремонт автодорог.</w:t>
      </w:r>
    </w:p>
    <w:p w:rsidR="0061576E" w:rsidRDefault="000956FC">
      <w:pPr>
        <w:numPr>
          <w:ilvl w:val="1"/>
          <w:numId w:val="5"/>
        </w:numPr>
        <w:spacing w:before="160" w:after="160" w:line="240" w:lineRule="auto"/>
        <w:contextualSpacing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Идет снижение динамики финансирования дорожной отрасли из республиканского бюджета с</w:t>
      </w: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Theme="majorEastAsia" w:hAnsi="Times New Roman" w:cs="Times New Roman"/>
          <w:iCs/>
          <w:sz w:val="24"/>
          <w:szCs w:val="24"/>
          <w:u w:val="single"/>
          <w:lang w:eastAsia="ru-RU"/>
        </w:rPr>
      </w:pPr>
    </w:p>
    <w:p w:rsidR="0061576E" w:rsidRDefault="000956FC">
      <w:pPr>
        <w:spacing w:before="160" w:after="160" w:line="240" w:lineRule="auto"/>
        <w:ind w:left="360"/>
        <w:contextualSpacing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  <w:lang w:eastAsia="ru-RU"/>
        </w:rPr>
        <w:t>2010 год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  <w:lang w:eastAsia="ru-RU"/>
        </w:rPr>
        <w:t>2017 год</w:t>
      </w:r>
    </w:p>
    <w:p w:rsidR="0061576E" w:rsidRDefault="000956FC">
      <w:pPr>
        <w:spacing w:before="160" w:after="160" w:line="240" w:lineRule="auto"/>
        <w:ind w:left="360"/>
        <w:contextualSpacing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2,8 %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к бюджету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                                       1,7 %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к бюджету</w:t>
      </w:r>
    </w:p>
    <w:p w:rsidR="0061576E" w:rsidRDefault="000956FC">
      <w:pPr>
        <w:spacing w:before="160" w:after="160" w:line="240" w:lineRule="auto"/>
        <w:ind w:left="360"/>
        <w:contextualSpacing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0,59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% к ВВП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                                            0,4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% к ВВП</w:t>
      </w:r>
    </w:p>
    <w:p w:rsidR="0061576E" w:rsidRDefault="000956FC">
      <w:pPr>
        <w:spacing w:before="160" w:after="160" w:line="240" w:lineRule="auto"/>
        <w:ind w:left="360"/>
        <w:contextualSpacing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69,0 тыс. сом на 1 км дороги                    62,0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тыс. сом на 1 км дороги</w:t>
      </w: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61576E" w:rsidRDefault="000956FC">
      <w:pPr>
        <w:numPr>
          <w:ilvl w:val="1"/>
          <w:numId w:val="5"/>
        </w:numPr>
        <w:spacing w:before="160" w:after="160" w:line="240" w:lineRule="auto"/>
        <w:contextualSpacing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Последствия недофинансирования дорожной отрасли:</w:t>
      </w:r>
    </w:p>
    <w:p w:rsidR="0061576E" w:rsidRDefault="000956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F243E" w:themeColor="text2" w:themeShade="80"/>
          <w:sz w:val="24"/>
          <w:szCs w:val="24"/>
          <w:u w:val="single"/>
        </w:rPr>
        <w:t>Из-за низкого технического уровня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, несоответствия параметров дорог интенсивности дорожного движения и перегрузки отдельных участков дорог:</w:t>
      </w:r>
    </w:p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а. средняя скорость движения транспортного потока снижается, что приводит к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увеличению стоимости перевозок на 20-25 процентов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,</w:t>
      </w:r>
    </w:p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. расходует в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1,5 раза больше горючего на 1 км пути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, чем в развитых зарубежных странах,</w:t>
      </w:r>
    </w:p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 сокращаются межремонтные интервалы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ав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томобилей, что в результате приводит к необходимости значительных дополнительных затрат и </w:t>
      </w:r>
      <w:r>
        <w:rPr>
          <w:rFonts w:ascii="Times New Roman" w:eastAsia="Calibri" w:hAnsi="Times New Roman" w:cs="Times New Roman"/>
          <w:i/>
          <w:sz w:val="24"/>
          <w:szCs w:val="24"/>
        </w:rPr>
        <w:t>тормозит развитие предпринимательства</w:t>
      </w:r>
    </w:p>
    <w:p w:rsidR="0061576E" w:rsidRDefault="0061576E">
      <w:pPr>
        <w:rPr>
          <w:rFonts w:eastAsiaTheme="majorEastAsia"/>
          <w:iCs/>
        </w:rPr>
      </w:pPr>
    </w:p>
    <w:p w:rsidR="0061576E" w:rsidRDefault="000956FC">
      <w:pPr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eastAsiaTheme="majorEastAsia"/>
          <w:iCs/>
        </w:rPr>
        <w:lastRenderedPageBreak/>
        <w:t xml:space="preserve">2.1. </w:t>
      </w:r>
      <w:r>
        <w:rPr>
          <w:rFonts w:ascii="Times New Roman" w:eastAsiaTheme="majorEastAsia" w:hAnsi="Times New Roman" w:cs="Times New Roman"/>
          <w:iCs/>
          <w:sz w:val="24"/>
          <w:szCs w:val="24"/>
          <w:u w:val="single"/>
        </w:rPr>
        <w:t>высокая зависимость дорожной отрасли от внешних источников финансирования</w:t>
      </w: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представлено на рисунке 1</w:t>
      </w:r>
    </w:p>
    <w:p w:rsidR="0061576E" w:rsidRDefault="000956FC">
      <w:pPr>
        <w:keepNext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299954"/>
            <wp:effectExtent l="0" t="0" r="3810" b="5715"/>
            <wp:docPr id="1" name="Рисунок 1" descr="D:\МТД\АРВ\акциз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ТД\АРВ\акциз\Рисунок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9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6E" w:rsidRDefault="000956FC">
      <w:pPr>
        <w:spacing w:before="160" w:after="160" w:line="240" w:lineRule="auto"/>
        <w:jc w:val="both"/>
        <w:rPr>
          <w:rFonts w:ascii="Times New Roman" w:eastAsiaTheme="majorEastAsia" w:hAnsi="Times New Roman" w:cstheme="majorBidi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theme="majorBidi"/>
          <w:iCs/>
          <w:sz w:val="24"/>
          <w:szCs w:val="24"/>
          <w:lang w:eastAsia="ru-RU"/>
        </w:rPr>
        <w:t xml:space="preserve">Поскольку, </w:t>
      </w:r>
      <w:r>
        <w:rPr>
          <w:rFonts w:ascii="Times New Roman" w:eastAsiaTheme="majorEastAsia" w:hAnsi="Times New Roman" w:cstheme="majorBidi"/>
          <w:iCs/>
          <w:sz w:val="24"/>
          <w:szCs w:val="24"/>
          <w:lang w:eastAsia="ru-RU"/>
        </w:rPr>
        <w:t>значительная часть основных магистралей были построены/реабилитированы за счет средств внешних источников, необходимо изыскивать средства из внутренних резервов страны, в целях финансовой безопасности.</w:t>
      </w:r>
    </w:p>
    <w:p w:rsidR="0061576E" w:rsidRDefault="000956FC">
      <w:pPr>
        <w:numPr>
          <w:ilvl w:val="1"/>
          <w:numId w:val="4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u w:val="single"/>
          <w:lang w:eastAsia="ru-RU"/>
        </w:rPr>
        <w:t>Слабость администрирования дорожной отраслью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изменена за счет создания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новой системы финансирования и управления дорожной отраслью, предполагающей привлечение частных инвестиций в рамках государственно-частного партнерства и переложение бремени содержания автомобильных дорог общего пользования на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ользователей в соответствии с принципом «пользователь платит»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одной стороны, такой подход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высвобождает государственные ресурсы для развития и модернизации дорожной сети, с другой стороны, представляет собой готовый механизм рефинансирования частных инве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стиций.</w:t>
      </w:r>
    </w:p>
    <w:p w:rsidR="0061576E" w:rsidRDefault="0061576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61576E" w:rsidRDefault="000956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2.Масштаб проблемы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общественное признание значимости автомобильных дорог в макроэкономическом и региональном развитии страны, ситуация с финансированием мероприятий по сохранению и развитию дорожной сети остается критической. </w:t>
      </w:r>
    </w:p>
    <w:p w:rsidR="0061576E" w:rsidRDefault="000956F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Общая протяженность 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томобильных дорог республики составляет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34 000 км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из них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18 810 км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</w:p>
    <w:p w:rsidR="0061576E" w:rsidRDefault="00095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автомобильным дорогам обеспечивается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98%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пассажирских и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96%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грузовых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перевозок</w:t>
      </w:r>
    </w:p>
    <w:p w:rsidR="0061576E" w:rsidRDefault="000956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Рост автомобилизации по сравнению с 1995 годом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составило 937%.</w:t>
      </w:r>
    </w:p>
    <w:p w:rsidR="0061576E" w:rsidRDefault="000956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Интенсивность движения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основным автомагистралям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выросла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в среднем на 700%</w:t>
      </w: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61576E">
      <w:p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61576E">
      <w:p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0956FC">
      <w:pPr>
        <w:spacing w:before="160" w:after="16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3.Международный опыт решения проблемы.</w:t>
      </w: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96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5"/>
        <w:gridCol w:w="1177"/>
        <w:gridCol w:w="3118"/>
        <w:gridCol w:w="1389"/>
        <w:gridCol w:w="1134"/>
        <w:gridCol w:w="3618"/>
      </w:tblGrid>
      <w:tr w:rsidR="0061576E">
        <w:tc>
          <w:tcPr>
            <w:tcW w:w="525" w:type="dxa"/>
          </w:tcPr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</w:p>
        </w:tc>
        <w:tc>
          <w:tcPr>
            <w:tcW w:w="31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проектов </w:t>
            </w: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проезда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строительства и эксплуатации дорог 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Испания </w:t>
            </w:r>
          </w:p>
        </w:tc>
        <w:tc>
          <w:tcPr>
            <w:tcW w:w="3118" w:type="dxa"/>
          </w:tcPr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тыс. км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(0,39%)</w:t>
            </w:r>
          </w:p>
        </w:tc>
        <w:tc>
          <w:tcPr>
            <w:tcW w:w="1134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8 евро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автодороги принадлежат государству, которое сдает их в концессию частным компаниям (на срок от 25 до 75 лет), после чего дорога либо возвращается государству, либо концессии продлеваются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3118" w:type="dxa"/>
          </w:tcPr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(0,8 %)</w:t>
            </w:r>
          </w:p>
        </w:tc>
        <w:tc>
          <w:tcPr>
            <w:tcW w:w="1134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7 евро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</w:t>
            </w:r>
            <w:r>
              <w:rPr>
                <w:rFonts w:ascii="Times New Roman" w:hAnsi="Times New Roman" w:cs="Times New Roman"/>
              </w:rPr>
              <w:t>ктов по строительству платных автодорог осуществляется за счет бюджетного финансирования либо в рамках концессий или партнерских контрактов.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участков платных дорог, в том числе республиканского значения</w:t>
            </w: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тыс. км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(1,7%)</w:t>
            </w:r>
          </w:p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0,04 до 0,15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августа 2013 года в Белоруссии введена в коммерческую эксплуатацию электронная система сбора платы за проезд </w:t>
            </w:r>
            <w:proofErr w:type="spellStart"/>
            <w:r>
              <w:rPr>
                <w:rFonts w:ascii="Times New Roman" w:hAnsi="Times New Roman" w:cs="Times New Roman"/>
              </w:rPr>
              <w:t>BelToll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31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платный автобан Астана — Кокшетау</w:t>
            </w: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км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(0,8 %)</w:t>
            </w:r>
          </w:p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0,002 до 0,04 доллара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платных дорог в 2020 </w:t>
            </w:r>
            <w:r>
              <w:rPr>
                <w:rFonts w:ascii="Times New Roman" w:hAnsi="Times New Roman" w:cs="Times New Roman"/>
              </w:rPr>
              <w:t>году должна составить 6500 км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общего объема платных дорог -3,94% государственного значения, 35,92% - территориальные дороги, 60,14% -муниципального назначения</w:t>
            </w: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млн.км</w:t>
            </w:r>
            <w:proofErr w:type="spellEnd"/>
          </w:p>
        </w:tc>
        <w:tc>
          <w:tcPr>
            <w:tcW w:w="1134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 до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61576E" w:rsidRDefault="006157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Платные трассы находятся в ведении двух организаций: </w:t>
            </w:r>
            <w:r>
              <w:rPr>
                <w:rFonts w:ascii="Times New Roman" w:hAnsi="Times New Roman" w:cs="Times New Roman"/>
              </w:rPr>
              <w:t>Федерального дорожного агентства и государственной компании "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".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магистралей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соединяющая американские штаты (возводилась с 1956 по 1973 годы)</w:t>
            </w: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0,13 %</w:t>
            </w:r>
          </w:p>
        </w:tc>
        <w:tc>
          <w:tcPr>
            <w:tcW w:w="1134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4 долларов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дороги (мосты и тоннел</w:t>
            </w:r>
            <w:r>
              <w:rPr>
                <w:rFonts w:ascii="Times New Roman" w:hAnsi="Times New Roman" w:cs="Times New Roman"/>
              </w:rPr>
              <w:t>и)в США строятся с частичным привлечением заемных средств и частных инвестиций (частная компания концессионер осуществляет строительство и эксплуатацию (в основном на праве собственности) в течение установленного срока, после чего сдает объект государству.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118" w:type="dxa"/>
          </w:tcPr>
          <w:p w:rsidR="0061576E" w:rsidRDefault="006157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 тыс. км</w:t>
            </w:r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0,8 %</w:t>
            </w:r>
          </w:p>
        </w:tc>
        <w:tc>
          <w:tcPr>
            <w:tcW w:w="1134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22 евро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платных автомобильных дорог осуществляет специальная дорожная корпорация (в 2005 году приватизирована) в основном за счет займов</w:t>
            </w:r>
          </w:p>
        </w:tc>
      </w:tr>
      <w:tr w:rsidR="0061576E">
        <w:tc>
          <w:tcPr>
            <w:tcW w:w="525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7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31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позволяющий обеспечить скоростное сообщение между транзитным портом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зонами провинции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Чжэцзян</w:t>
            </w:r>
            <w:proofErr w:type="spellEnd"/>
          </w:p>
        </w:tc>
        <w:tc>
          <w:tcPr>
            <w:tcW w:w="1389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0,07%</w:t>
            </w:r>
          </w:p>
        </w:tc>
        <w:tc>
          <w:tcPr>
            <w:tcW w:w="1134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9 евро</w:t>
            </w:r>
          </w:p>
        </w:tc>
        <w:tc>
          <w:tcPr>
            <w:tcW w:w="3618" w:type="dxa"/>
          </w:tcPr>
          <w:p w:rsidR="0061576E" w:rsidRDefault="000956F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Китае существуют «правительственные» дороги (строятся за счет кредитов, представляемых банками органам влас</w:t>
            </w:r>
            <w:r>
              <w:rPr>
                <w:rFonts w:ascii="Times New Roman" w:hAnsi="Times New Roman" w:cs="Times New Roman"/>
              </w:rPr>
              <w:t xml:space="preserve">ти), </w:t>
            </w:r>
            <w:proofErr w:type="spellStart"/>
            <w:r>
              <w:rPr>
                <w:rFonts w:ascii="Times New Roman" w:hAnsi="Times New Roman" w:cs="Times New Roman"/>
              </w:rPr>
              <w:t>эксплуатирующиеся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платные в течение 15 лет и </w:t>
            </w:r>
            <w:r>
              <w:rPr>
                <w:rFonts w:ascii="Times New Roman" w:hAnsi="Times New Roman" w:cs="Times New Roman"/>
              </w:rPr>
              <w:lastRenderedPageBreak/>
              <w:t>«коммерческие» (строятся за счет собственных и заемных средств корпораций), срок платной эксплуатации которых 25 лет.</w:t>
            </w:r>
          </w:p>
        </w:tc>
      </w:tr>
    </w:tbl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0956F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государственного регулирования:</w:t>
      </w:r>
    </w:p>
    <w:p w:rsidR="0061576E" w:rsidRDefault="000956FC">
      <w:pPr>
        <w:shd w:val="clear" w:color="auto" w:fill="FFFFFF"/>
        <w:spacing w:before="160" w:after="60" w:line="276" w:lineRule="atLeast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основу для запуска проектов ГЧП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 новых платных дорог, которая будет содействовать изысканию дополнительных источников финансирования дорожного хозяйства и снижению нагрузки на бюджет страны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61576E" w:rsidRDefault="0061576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pStyle w:val="a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Рекомендуемые индикаторы для оценки достижения цели: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Количественные индикаторы:</w:t>
      </w:r>
    </w:p>
    <w:p w:rsidR="0061576E" w:rsidRDefault="000956FC">
      <w:pPr>
        <w:numPr>
          <w:ilvl w:val="0"/>
          <w:numId w:val="1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бюджетного финансирования от оценочной финансовой потребности дорожной отрасли, равное:</w:t>
      </w:r>
    </w:p>
    <w:p w:rsidR="0061576E" w:rsidRDefault="000956FC">
      <w:pPr>
        <w:numPr>
          <w:ilvl w:val="1"/>
          <w:numId w:val="1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 ДДХ – не менее 50%;</w:t>
      </w:r>
    </w:p>
    <w:p w:rsidR="0061576E" w:rsidRDefault="000956FC">
      <w:pPr>
        <w:numPr>
          <w:ilvl w:val="1"/>
          <w:numId w:val="1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капитальных вложений – не менее 70%;</w:t>
      </w:r>
    </w:p>
    <w:p w:rsidR="0061576E" w:rsidRDefault="000956FC">
      <w:pPr>
        <w:numPr>
          <w:ilvl w:val="0"/>
          <w:numId w:val="1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разрыв между предлагаемым и существующим объемом финансирования –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1,5% от объема республиканского бюджета;</w:t>
      </w:r>
    </w:p>
    <w:p w:rsidR="0061576E" w:rsidRDefault="000956FC">
      <w:pPr>
        <w:numPr>
          <w:ilvl w:val="0"/>
          <w:numId w:val="1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внешнего заимствования в консолидированном бюджете дорожной отрасли в среднесрочной перспективе – не более 50%.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Качественные индикаторы:</w:t>
      </w:r>
    </w:p>
    <w:p w:rsidR="0061576E" w:rsidRDefault="000956F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доступа населения к внутренним и международным рынкам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ресурсам (повышение доли дорог, соответствующих нормативным требованиям)</w:t>
      </w:r>
    </w:p>
    <w:p w:rsidR="0061576E" w:rsidRDefault="000956FC">
      <w:pPr>
        <w:numPr>
          <w:ilvl w:val="0"/>
          <w:numId w:val="1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дорожной отрасли на основе стабильных, надежных источников финансирования в среднесрочной перспективе.</w:t>
      </w: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61576E">
      <w:pPr>
        <w:spacing w:before="160"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5.Варианты решения проблемы: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1.Вариант «Оставить все как есть». 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Ключевыми последствиями варианта регулирования «оставить все как есть»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станут: </w:t>
      </w:r>
    </w:p>
    <w:p w:rsidR="0061576E" w:rsidRDefault="000956FC">
      <w:pPr>
        <w:numPr>
          <w:ilvl w:val="0"/>
          <w:numId w:val="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деградация дорожной инфраструктуры;</w:t>
      </w:r>
    </w:p>
    <w:p w:rsidR="0061576E" w:rsidRDefault="000956FC">
      <w:pPr>
        <w:numPr>
          <w:ilvl w:val="0"/>
          <w:numId w:val="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реформы управления дорожными активами и, соответственно, поддержание неэффективных систем управления:</w:t>
      </w:r>
    </w:p>
    <w:p w:rsidR="0061576E" w:rsidRDefault="000956FC">
      <w:pPr>
        <w:numPr>
          <w:ilvl w:val="1"/>
          <w:numId w:val="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дорожным хозяйством;</w:t>
      </w:r>
    </w:p>
    <w:p w:rsidR="0061576E" w:rsidRDefault="000956FC">
      <w:pPr>
        <w:numPr>
          <w:ilvl w:val="1"/>
          <w:numId w:val="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финансами в дорожном секторе;</w:t>
      </w:r>
    </w:p>
    <w:p w:rsidR="0061576E" w:rsidRDefault="000956FC">
      <w:pPr>
        <w:numPr>
          <w:ilvl w:val="0"/>
          <w:numId w:val="2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практики заимствований в дорожном секторе.</w:t>
      </w:r>
    </w:p>
    <w:p w:rsidR="0061576E" w:rsidRDefault="0061576E">
      <w:p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данного варианта регулирования «оставить все как есть»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неприемлем для текущей ситуации с автомобильными дорогами страны,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указанные ранее проблемы и задачи не будут решены, а негативные последствия, являющиеся серьезными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препятствиями на пути социально-экономического развития страны в целом и ее регионов, лишь будут нарастать.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2.Вариант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«Принять представленный законо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проект».</w:t>
      </w:r>
    </w:p>
    <w:p w:rsidR="0061576E" w:rsidRDefault="000956F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Cпособы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регулирования:</w:t>
      </w:r>
    </w:p>
    <w:p w:rsidR="0061576E" w:rsidRDefault="000956FC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правовых условий для создания платных автомобильных дорог на территории Кыргызской Республики, </w:t>
      </w:r>
    </w:p>
    <w:p w:rsidR="0061576E" w:rsidRDefault="000956FC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порядка организации и эксплуатации платных автомобильных дорог, участков, мостов, тоннелей и других искусственных сооружений, </w:t>
      </w:r>
    </w:p>
    <w:p w:rsidR="0061576E" w:rsidRDefault="000956FC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Установление порядка управления ими, определение методики взимания платы за проезд по ним автотранспортных средств.</w:t>
      </w:r>
    </w:p>
    <w:p w:rsidR="0061576E" w:rsidRDefault="000956FC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льгот для определённых категорий транспортных средств, освобождаемых от оплаты. 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Крупные транспортные проекты приносят значительную выгоду, как прямую, так и косвенную, однако в кризисной ситуации ресурсы государства ограничены. В результате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озникают новые формы организации и процедуры, благодаря которым заинтересованные стороны могут прямо или косвенно участвовать в финансировании дорожных проектов. 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Такими сторонами являются: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участники дорожного движения;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пассажиры;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органы государствен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и местных властей;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местные жители и предприятия, расположенные в зоне реализации проекта;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владельцы земли и недвижимости, расположенной в транспортном коридоре проекта;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инвестиционные институты, заинтересованные в доходном вложении средств.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Финан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сирование дорожных проектов, как правило, осуществляется в следующих формах: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прямые инвестиции;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передача землеотвода для строительства дорог и придорожной инфраструктуры;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предоставление необходимых товаров и услуг, включая интеллектуальные права на р</w:t>
      </w:r>
      <w:r>
        <w:rPr>
          <w:rFonts w:ascii="Times New Roman" w:hAnsi="Times New Roman" w:cs="Times New Roman"/>
          <w:sz w:val="24"/>
          <w:szCs w:val="24"/>
          <w:lang w:eastAsia="ru-RU"/>
        </w:rPr>
        <w:t>езультаты проектных работ;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создание благоприятных условий для денежных расчетов и предоставления кредитов на строительство автомобильных дорог и в других формах.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инвесторов (государства и (или) частных лиц)</w:t>
      </w:r>
      <w:r>
        <w:rPr>
          <w:rFonts w:ascii="Times New Roman" w:hAnsi="Times New Roman" w:cs="Times New Roman"/>
          <w:sz w:val="24"/>
          <w:szCs w:val="24"/>
          <w:lang w:eastAsia="ru-RU"/>
        </w:rPr>
        <w:t>, финансирующих создание объектов транспорт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инфраструктуры - получение выгод. Для государства - это создание общественного блага, рост благосостояния населения, стимулирование занятости и производства ВВП, для частных инвесторов - последующее рефинансирование инвестиций в созданный объект трансп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ортной инфраструктуры за счет взимаемых платежей.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Введение платности на автомобильных дорогах обеспечивает ряд преимуществ: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 создается новый источник финансирования дорожной отрасли, являющийся альтернативой получению доходов от налоговых сборов. 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р, в Норвегии доходы от платных автомобильных дорог и дорожных объектов составляют 32 процента от бюджета национальной дорожной системы, в Испании - 46 процентов, и эти средства направляются на развитие транспортной инфраструктуры;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стабилизируется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>ирование отрасли, так как доходы от пользования дорогами стабильны и регулярны по сравнению с бюджетными субсидиями;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введение платности стимулирует частный бизнес к участию в развитии транспортной инфраструктуры страны;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совершенствуется финансовая сист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ема (длинные кредиты, новые инструменты финансирования и т. д.).</w:t>
      </w:r>
    </w:p>
    <w:p w:rsidR="0061576E" w:rsidRDefault="006157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Регулятивное воздействие:</w:t>
      </w:r>
    </w:p>
    <w:p w:rsidR="0061576E" w:rsidRDefault="000956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данного законопроекта, даст юридические основания для Методики расчета ставки тарифа за проезд по платным автомобильным дорогам общего пользования, которые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будут представлены 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 и условиях эксплуатации платных автомобильных дорог», утверждаемых постановлением Правительства КР.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расчете минимальных тарифных ставок принимаются международные стандарты, включающие среднечасовую заработную плату в КР кра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тную на коэффициент.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Исходя из минимальной тарифной ставки равную 0,57 сом, рассчитывается плата по категории транспортных средств исходя из грузоподъемности и др. классификаций. 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Например,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для грузового транспорта категории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тариф составит 6,84 сом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км,</w:t>
      </w: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для грузового транспорта категории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тариф составит 14,25 сом за 1 км</w:t>
      </w:r>
    </w:p>
    <w:p w:rsidR="0061576E" w:rsidRDefault="000956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для категорий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M2 и M3, осуществляющих пассажирские перевозки тариф  </w:t>
      </w:r>
    </w:p>
    <w:p w:rsidR="0061576E" w:rsidRDefault="000956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составит 0,57 сом, 1,14 сом и 2,85 сом, соответственно.</w:t>
      </w:r>
    </w:p>
    <w:p w:rsidR="0061576E" w:rsidRDefault="0061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размер оплаты за проезд по платным дорогам общего пользования рассчитывается умножением ставки тарифа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протяженность платной автомобильной дороги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1576E" w:rsidRDefault="000956FC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</w:p>
    <w:p w:rsidR="0061576E" w:rsidRDefault="0061576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6E" w:rsidRDefault="000956F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 Размер оплаты для легкового транспорта (М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за проезд по платной автомобильной дороге общего пользования протяженностью 100 км: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х100 = 0,57х100 = 57 сом.</w:t>
      </w:r>
    </w:p>
    <w:p w:rsidR="0061576E" w:rsidRDefault="0061576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576E" w:rsidRDefault="000956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Экономический эффект.</w:t>
      </w:r>
    </w:p>
    <w:p w:rsidR="0061576E" w:rsidRDefault="00095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законопроекта повлечет следующие экономические последствия. Так, для бюджета страны стоимость дорожных активов республики составляет порядка 20,0 млрд сом. На текущий ремонт и содержание ежегодно выделяется в среднем 3,0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0,4 % от ВВП.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76E" w:rsidRDefault="00095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Потери бюджета по дорожной отрасли, из-за интенсивного разрушения автодорог из-за недофинансирования, составляет порядка 195,0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сомов за 30 летний жизненный цикл дорог или 6,5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млрд.сом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ежегодно.  </w:t>
      </w:r>
    </w:p>
    <w:p w:rsidR="0061576E" w:rsidRDefault="000956F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этом, посчитано, что при внедрении платности дор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 для автомобильных дорог международного значения, ежегодные сборы по платным автомобильным дорогам составят порядка 1,0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исходя из расчета интенсивности движения и предлагаемых размеров тарифа. Направление этих средств на текущий ремонт и содерж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ание автомобильных дорог позволит сэкономить бюджетные средства порядка 43,0 млрд сомов за 30 летний период или 1.4 млрд. ежегодно.  </w:t>
      </w:r>
    </w:p>
    <w:p w:rsidR="0061576E" w:rsidRDefault="000956FC">
      <w:pPr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Воздействие на заинтересованные лица:</w:t>
      </w:r>
    </w:p>
    <w:tbl>
      <w:tblPr>
        <w:tblStyle w:val="a5"/>
        <w:tblW w:w="946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5921"/>
        <w:gridCol w:w="1675"/>
      </w:tblGrid>
      <w:tr w:rsidR="0061576E">
        <w:trPr>
          <w:tblHeader/>
        </w:trPr>
        <w:tc>
          <w:tcPr>
            <w:tcW w:w="1871" w:type="dxa"/>
            <w:shd w:val="clear" w:color="auto" w:fill="D9D9D9" w:themeFill="background1" w:themeFillShade="D9"/>
          </w:tcPr>
          <w:p w:rsidR="0061576E" w:rsidRDefault="000956F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Заинтересованные стороны</w:t>
            </w:r>
          </w:p>
        </w:tc>
        <w:tc>
          <w:tcPr>
            <w:tcW w:w="5921" w:type="dxa"/>
            <w:shd w:val="clear" w:color="auto" w:fill="D9D9D9" w:themeFill="background1" w:themeFillShade="D9"/>
          </w:tcPr>
          <w:p w:rsidR="0061576E" w:rsidRDefault="000956F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Позитивные последствия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61576E" w:rsidRDefault="000956F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Негативные последствия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транспорта и дорог 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управления дорожными активами на основе стабильных источников финансирования 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ответственности перед обществом за эффективность использования бюджетных средств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заинтересованности в результатах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реформы в дорожном секторе – развитие ГЧП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рисков увеличения долгового бремени страны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бюджетных доходов (неналоговых) за счет расширения налоговой базы в результате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дорожно-строительных госпредприятий и развития частного рынка дорожных работ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экономики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предпринимательской активности в дорожном секторе и иных секторах экономики, улучшение макроэкономических показателей 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ппарат Правительства КР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деятельности ПКР, повышение прозрачности деятельности дорожной службы, снижение коррупции, повышение индекса доверия населения  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Жогорку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 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контроля и мониторинга деятельности ПКР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МСУ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к региональным рынкам, повышение активности сельского населения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Предприниматели 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нефтетрейдеров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грузовых и пассажирских перевозчиков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дорожных условий, комфортность проезда без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пробок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 (финансовых, временных) производства товаров и услуг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Контролируемый сбор через автоматизированные устройства оплаты проезда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заинтересованности в контроле и мониторинге деятельности дорожной/транспортной службы: адресность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прозрачность поступлений в бюджет платы за проезд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издержки по оплате проезда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(граждане)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дорожных условий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заинтересованности в контроле и мониторинге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дорожной/транспортной службы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транспо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ртных эксплуатационных затрат 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Риск повышения оплаты за проезд в случае, если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перевозчик компенсирует свои затраты за счет пассажиров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(необходим мониторинг и контроль со стороны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61576E" w:rsidRDefault="0061576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76E" w:rsidRDefault="000956FC">
      <w:pPr>
        <w:keepNext/>
        <w:keepLines/>
        <w:spacing w:before="40" w:after="0" w:line="240" w:lineRule="auto"/>
        <w:jc w:val="both"/>
        <w:outlineLvl w:val="3"/>
        <w:rPr>
          <w:rFonts w:ascii="Times New Roman" w:eastAsiaTheme="majorEastAsia" w:hAnsi="Times New Roman" w:cstheme="majorBidi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:u w:val="single"/>
          <w:lang w:eastAsia="ru-RU"/>
        </w:rPr>
        <w:t>Реализационные риски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технической реализации предлагаемой 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возникнуть следующие риски: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слабой поддержки предлагаемых мер со стороны МФ КР, МЭ КР и других государственных органов,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незаинтересованности инвесторов в строительстве платной дороги,</w:t>
      </w:r>
    </w:p>
    <w:p w:rsidR="0061576E" w:rsidRDefault="00095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закона предлагается:</w:t>
      </w:r>
    </w:p>
    <w:p w:rsidR="0061576E" w:rsidRDefault="00095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исключить норму о наличии альтернативной дороги при создании платной автомобильной дороги. </w:t>
      </w:r>
    </w:p>
    <w:p w:rsidR="0061576E" w:rsidRDefault="00095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предложение вынужденное и необходимое в связи со следующими факторами:</w:t>
      </w:r>
    </w:p>
    <w:p w:rsidR="0061576E" w:rsidRDefault="000956F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расположение страны, где 95 процентов территории горные массивы, что зат</w:t>
      </w:r>
      <w:r>
        <w:rPr>
          <w:rFonts w:ascii="Times New Roman" w:hAnsi="Times New Roman" w:cs="Times New Roman"/>
          <w:sz w:val="24"/>
          <w:szCs w:val="24"/>
        </w:rPr>
        <w:t>рудняет строительство новых альтернативных дорог,</w:t>
      </w:r>
    </w:p>
    <w:p w:rsidR="0061576E" w:rsidRDefault="000956F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 сложившаяся сеть автодорог, на протяженности которых выстроены населенные пункты, а в глубину расположены сельскохозяйственные угодья, пастбища, и другие, необходимые для развития инфраструктурн</w:t>
      </w:r>
      <w:r>
        <w:rPr>
          <w:rFonts w:ascii="Times New Roman" w:hAnsi="Times New Roman" w:cs="Times New Roman"/>
          <w:sz w:val="24"/>
          <w:szCs w:val="24"/>
        </w:rPr>
        <w:t>ые сооружения,</w:t>
      </w:r>
    </w:p>
    <w:p w:rsidR="0061576E" w:rsidRDefault="000956F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приоритетное финансирование из государственного бюджета, не социально-ориентированная отрасль (дорожная), для строительства альтернативных дорог.</w:t>
      </w:r>
    </w:p>
    <w:p w:rsidR="0061576E" w:rsidRDefault="00095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условиях, для поддержания нормативных параметров содержания существующих автодорог и </w:t>
      </w:r>
      <w:r>
        <w:rPr>
          <w:rFonts w:ascii="Times New Roman" w:hAnsi="Times New Roman" w:cs="Times New Roman"/>
          <w:sz w:val="24"/>
          <w:szCs w:val="24"/>
        </w:rPr>
        <w:t>развития государственно-частного партнерства в автодорожном секторе, и вводится данная мера.</w:t>
      </w:r>
    </w:p>
    <w:p w:rsidR="0061576E" w:rsidRDefault="000956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Произведенные расчеты по предлагаемым тарифам показали, что существенного влияния на стоимость перевозимых товаров не повлияет. Так, стоимость перевозки одного кил</w:t>
      </w:r>
      <w:r>
        <w:rPr>
          <w:rFonts w:ascii="Times New Roman" w:hAnsi="Times New Roman" w:cs="Times New Roman"/>
          <w:sz w:val="24"/>
          <w:szCs w:val="24"/>
        </w:rPr>
        <w:t xml:space="preserve">ограмма товара повысится на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тыйын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компенсируется качественными дорогами путем сокращения следования в пути и экономией на ремонт транспортных средств.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Отношение заинтересованных сторон к текущей ситуации и их влияние на изменения </w:t>
      </w:r>
    </w:p>
    <w:p w:rsidR="0061576E" w:rsidRDefault="006157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>Анализ заинт</w:t>
      </w: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>ересованных сторон по степени заинтересованности в регулировании и силе влияния на принятие решения</w:t>
      </w:r>
    </w:p>
    <w:tbl>
      <w:tblPr>
        <w:tblStyle w:val="a5"/>
        <w:tblW w:w="95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1531"/>
        <w:gridCol w:w="1191"/>
        <w:gridCol w:w="1191"/>
        <w:gridCol w:w="3742"/>
      </w:tblGrid>
      <w:tr w:rsidR="0061576E">
        <w:trPr>
          <w:tblHeader/>
        </w:trPr>
        <w:tc>
          <w:tcPr>
            <w:tcW w:w="187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Заинтересованные стороны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Круг полномочий в регулировании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Сила влияния на принятие решения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заинтересо-ванности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 реформе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Пояснения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Министерство транспорта и дорог 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дорожным хозяйством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обозначает наличие проблем и считает необходимым изменение ситуации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Министерство финансов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госфинансами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отмечает наличие проблем, консервативно в </w:t>
            </w:r>
            <w:r>
              <w:rPr>
                <w:rFonts w:ascii="Times New Roman" w:hAnsi="Times New Roman" w:cs="Times New Roman"/>
                <w:lang w:eastAsia="ru-RU"/>
              </w:rPr>
              <w:t>вопросах увеличения расходов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Министерство экономики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экономическое регулирование, налоговая политика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проблем, осторожно в принятии решений касательно дополнительной платы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Аппарат Правительства КР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координация,</w:t>
            </w:r>
          </w:p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согласование,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мониторинг, контроль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проблем, осторожно в принятии непопулярных решений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Жогорку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КР 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принятие решения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проблем, осторожно в принятии непопулярных решений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Органы МСУ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потребители услуг,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согласование политики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заинтересованы в улучшении доступности к региональным рынкам, слабое влияние на ситуацию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Предприниматели </w:t>
            </w:r>
          </w:p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лице: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нефтетрейдеров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грузовых и пассажирских перевозчиков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потребители услуг, согласование политики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отмечают наличие проблем, заинтересованы в улучшении дорожных условий при адресном поступлении платы, влияние на ситуацию среднее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Население (граждане)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потребители услуг, согласование политики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требования по улучшению качества дорог, </w:t>
            </w:r>
            <w:r>
              <w:rPr>
                <w:rFonts w:ascii="Times New Roman" w:hAnsi="Times New Roman" w:cs="Times New Roman"/>
                <w:lang w:eastAsia="ru-RU"/>
              </w:rPr>
              <w:t>комфортности проезда и принятию мер со стороны госорганов. Также требования по адресности платы за автомобильные дороги (прозрачность, информирование)</w:t>
            </w:r>
          </w:p>
        </w:tc>
      </w:tr>
    </w:tbl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Правовой анализ и анализ социального воздействия.</w:t>
      </w:r>
    </w:p>
    <w:p w:rsidR="0061576E" w:rsidRDefault="00095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</w:t>
      </w:r>
      <w:r>
        <w:rPr>
          <w:rFonts w:ascii="Times New Roman" w:hAnsi="Times New Roman" w:cs="Times New Roman"/>
          <w:b/>
          <w:sz w:val="24"/>
          <w:szCs w:val="24"/>
        </w:rPr>
        <w:t>система льгот</w:t>
      </w:r>
      <w:r>
        <w:rPr>
          <w:rFonts w:ascii="Times New Roman" w:hAnsi="Times New Roman" w:cs="Times New Roman"/>
          <w:sz w:val="24"/>
          <w:szCs w:val="24"/>
        </w:rPr>
        <w:t xml:space="preserve"> для общественного транспорта, транспорта для местного населения, специального транспорта в условиях чрезвычайных ситуаций (скорая помощь, пожарная охрана, обеспечение безопасности граждан, ликвидация стихийных бедствий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1576E" w:rsidRDefault="00095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деятельность предпринимат</w:t>
      </w:r>
      <w:r>
        <w:rPr>
          <w:rFonts w:ascii="Times New Roman" w:hAnsi="Times New Roman" w:cs="Times New Roman"/>
          <w:sz w:val="24"/>
          <w:szCs w:val="24"/>
        </w:rPr>
        <w:t>елей принимаемые изменения отрицательно не повлияют, напротив создаются условия для качественной дорожной инфраструктуры, положительно отражающих на финансово-экономические показатели (скорость доставки, экономия топлива и средств на ремонт транспортных ср</w:t>
      </w:r>
      <w:r>
        <w:rPr>
          <w:rFonts w:ascii="Times New Roman" w:hAnsi="Times New Roman" w:cs="Times New Roman"/>
          <w:sz w:val="24"/>
          <w:szCs w:val="24"/>
        </w:rPr>
        <w:t>едств).</w:t>
      </w:r>
    </w:p>
    <w:p w:rsidR="0061576E" w:rsidRDefault="00095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Сборы от оплаты за пользованием автодорог будут направлены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поддержание высоких транспортно-эксплуатационных характеристик дороги, управление ею, возврат заемных средств с учетом процентов. </w:t>
      </w:r>
    </w:p>
    <w:p w:rsidR="0061576E" w:rsidRDefault="000956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образования средств, превышающих перечисленные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расходы, излишки должны расходоваться в первую очередь на реконструкцию платной дороги, дальнейшее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ее транспортно-эксплуатационных качеств и комфортности движения, строительство новых участков дороги и подъездов к ней.</w:t>
      </w:r>
    </w:p>
    <w:p w:rsidR="0061576E" w:rsidRDefault="006157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576E" w:rsidRDefault="000956F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законопроекта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повлечет иных финансовых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негативных финансово-экономических последствий, социальных, правовых, правозащитных, гендерных, экологических и антикоррупционных последствий.</w:t>
      </w:r>
    </w:p>
    <w:p w:rsidR="0061576E" w:rsidRDefault="000956FC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Напротив, принятие данного законопроекта является исполнением положений, изложенных в разделе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Меры по развитию сети автомобильных дорог Основных направлений развития дорожной отрасли на 2016-2025 годы,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утвержденных постановлением Правительства Кыргызс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кой Республики 1.07.2016 года №372, где указано, что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Ввиду недостаточного финансирования ремонта и содержания автомобильных дорог, и поскольку Кыргызская Республика должна возвращать кредитные средства, привлеченные на строительство и реабилитацию автомоб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ильных дорог, Министерство транспорта и дорог Кыргызской Республики будет практиковать перевод некоторых участков автомобильных дорог общего пользования на платную основу. К 2025 году необходимо увеличить протяженность таких участков до 500 км. Основная ча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сть средств от платных дорог будет поступать в доходную часть республиканского бюджета.»</w:t>
      </w:r>
    </w:p>
    <w:p w:rsidR="0061576E" w:rsidRDefault="000956F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законопроект предусматривает решение приоритетных задач по </w:t>
      </w:r>
      <w:r>
        <w:rPr>
          <w:rFonts w:ascii="Times New Roman" w:hAnsi="Times New Roman" w:cs="Times New Roman"/>
          <w:sz w:val="24"/>
          <w:szCs w:val="24"/>
        </w:rPr>
        <w:t>внедрению передовых форм и методов организации дорожного движения, повышения уровня безопасности дор</w:t>
      </w:r>
      <w:r>
        <w:rPr>
          <w:rFonts w:ascii="Times New Roman" w:hAnsi="Times New Roman" w:cs="Times New Roman"/>
          <w:sz w:val="24"/>
          <w:szCs w:val="24"/>
        </w:rPr>
        <w:t xml:space="preserve">ожного движения на платных автомобильных дорогах,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позволит достичь конечных целей и задач по эффективному управлению дорожной отраслью.</w:t>
      </w:r>
    </w:p>
    <w:p w:rsidR="0061576E" w:rsidRDefault="0009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Информация о результатах общественного обсуждения </w:t>
      </w:r>
    </w:p>
    <w:p w:rsidR="0061576E" w:rsidRDefault="00095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22 закона «О нормативно правовых актах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 Республики, проект Закона Кыргызской Республики «Об изменениях в Законе «Об автомобильных дорогах» был размещен на сайте Министерства транспорта и дорог Кыргызской Республики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.gov.kg) в целях прохождения процедуры общественного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обсуждения. Предложений и замечаний по проекту не поступало.</w:t>
      </w:r>
    </w:p>
    <w:p w:rsidR="0061576E" w:rsidRDefault="0061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Информация об источниках финансирования законопроекта </w:t>
      </w:r>
    </w:p>
    <w:p w:rsidR="0061576E" w:rsidRDefault="00095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данного проекта Закона Кыргызской Республики «О внесении изменений в Закон «Об автомобильных дорогах» не повлечет за собой 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финансовых затрат из государственного бюджета.</w:t>
      </w:r>
    </w:p>
    <w:p w:rsidR="0061576E" w:rsidRDefault="00615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платы, максимальный размер платы </w:t>
      </w:r>
      <w:r>
        <w:rPr>
          <w:rFonts w:ascii="Times New Roman" w:hAnsi="Times New Roman" w:cs="Times New Roman"/>
          <w:b/>
          <w:sz w:val="24"/>
          <w:szCs w:val="24"/>
        </w:rPr>
        <w:t>за проезд транспортных средств по платным автомобильным дорогам общего пользования, платным участкам автомобильных дорог (в том числе если платным уча</w:t>
      </w:r>
      <w:r>
        <w:rPr>
          <w:rFonts w:ascii="Times New Roman" w:hAnsi="Times New Roman" w:cs="Times New Roman"/>
          <w:b/>
          <w:sz w:val="24"/>
          <w:szCs w:val="24"/>
        </w:rPr>
        <w:t>стком автомобильной дороги является отдельное искусственное дорожное сооружение), будут утверждены постановлением Правительства Кыргызской Республики.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Toc518468962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3. Вариант. Поднятие ставки акцизов на бензин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финансирования из республиканского бюджета дорожной о</w:t>
      </w:r>
      <w:r>
        <w:rPr>
          <w:rFonts w:ascii="Times New Roman" w:eastAsia="Calibri" w:hAnsi="Times New Roman" w:cs="Times New Roman"/>
          <w:sz w:val="24"/>
          <w:szCs w:val="24"/>
        </w:rPr>
        <w:t>трасли на текущий ремонт и содержание.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внести изменения в Налоговый кодекс Кыргызской Республики в виде увеличения базовой ставки акцизного налога на бензин, легкие и средние дистилляты и прочие бензины с 5000 до 7000 сом за тонну, в связи с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реализуется следующая задача государственного регулирования: </w:t>
      </w:r>
    </w:p>
    <w:p w:rsidR="0061576E" w:rsidRDefault="000956FC">
      <w:pPr>
        <w:numPr>
          <w:ilvl w:val="0"/>
          <w:numId w:val="1"/>
        </w:numPr>
        <w:spacing w:before="16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доведение объема бюджетного финансирования до оптимальной потребности автодорожной отрасли с обеспечением оптимального выбора между ростом налогового бремени и повышением давления на бюджет увеличивающихся бюджетных расходов. </w:t>
      </w:r>
    </w:p>
    <w:p w:rsidR="0061576E" w:rsidRDefault="000956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 xml:space="preserve">Расчет составляющей налогов </w:t>
      </w: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>(НДС + Налог с продаж + Акциз) в 1 литре автомобильного топлива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906"/>
        <w:gridCol w:w="1134"/>
        <w:gridCol w:w="1134"/>
        <w:gridCol w:w="964"/>
        <w:gridCol w:w="1020"/>
        <w:gridCol w:w="964"/>
        <w:gridCol w:w="964"/>
        <w:gridCol w:w="964"/>
      </w:tblGrid>
      <w:tr w:rsidR="0061576E">
        <w:trPr>
          <w:trHeight w:val="227"/>
          <w:jc w:val="center"/>
        </w:trPr>
        <w:tc>
          <w:tcPr>
            <w:tcW w:w="10035" w:type="dxa"/>
            <w:gridSpan w:val="10"/>
            <w:tcBorders>
              <w:bottom w:val="nil"/>
            </w:tcBorders>
            <w:shd w:val="clear" w:color="auto" w:fill="auto"/>
            <w:noWrap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color w:val="0F243E" w:themeColor="text2" w:themeShade="80"/>
              </w:rPr>
            </w:pPr>
            <w:r>
              <w:rPr>
                <w:b/>
                <w:bCs/>
                <w:i/>
                <w:color w:val="0F243E" w:themeColor="text2" w:themeShade="80"/>
              </w:rPr>
              <w:t>при действующей ставке акциза</w:t>
            </w:r>
          </w:p>
        </w:tc>
      </w:tr>
      <w:tr w:rsidR="0061576E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 1 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действ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НДС+НсП</w:t>
            </w:r>
            <w:proofErr w:type="spellEnd"/>
            <w:r>
              <w:rPr>
                <w:sz w:val="20"/>
                <w:szCs w:val="20"/>
              </w:rPr>
              <w:t xml:space="preserve"> 12%+1%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акциза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 действ.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налогов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без налогов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бремя налогов</w:t>
            </w:r>
          </w:p>
        </w:tc>
      </w:tr>
      <w:tr w:rsidR="0061576E">
        <w:trPr>
          <w:trHeight w:val="1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кг/л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дизтопливо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 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 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 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 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24%</w:t>
            </w:r>
          </w:p>
        </w:tc>
      </w:tr>
      <w:tr w:rsidR="0061576E">
        <w:trPr>
          <w:trHeight w:val="255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6E" w:rsidRDefault="0061576E">
            <w:pPr>
              <w:spacing w:after="0"/>
              <w:rPr>
                <w:sz w:val="20"/>
                <w:szCs w:val="20"/>
              </w:rPr>
            </w:pPr>
          </w:p>
        </w:tc>
      </w:tr>
      <w:tr w:rsidR="0061576E">
        <w:trPr>
          <w:trHeight w:val="255"/>
          <w:jc w:val="center"/>
        </w:trPr>
        <w:tc>
          <w:tcPr>
            <w:tcW w:w="1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76E" w:rsidRDefault="000956FC">
            <w:pPr>
              <w:spacing w:after="0"/>
              <w:jc w:val="center"/>
              <w:rPr>
                <w:color w:val="0F243E" w:themeColor="text2" w:themeShade="80"/>
              </w:rPr>
            </w:pPr>
            <w:r>
              <w:rPr>
                <w:b/>
                <w:bCs/>
                <w:i/>
                <w:color w:val="0F243E" w:themeColor="text2" w:themeShade="80"/>
              </w:rPr>
              <w:t>при новой ставке акциза</w:t>
            </w:r>
          </w:p>
        </w:tc>
      </w:tr>
      <w:tr w:rsidR="0061576E">
        <w:trPr>
          <w:trHeight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акциза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 новый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НДС+НсП</w:t>
            </w:r>
            <w:proofErr w:type="spellEnd"/>
            <w:r>
              <w:rPr>
                <w:sz w:val="20"/>
                <w:szCs w:val="20"/>
              </w:rPr>
              <w:t xml:space="preserve"> 12%+1%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налогов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бремя налогов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прирост бремени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новая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прирост цены</w:t>
            </w:r>
          </w:p>
        </w:tc>
      </w:tr>
      <w:tr w:rsidR="0061576E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сом/тонна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сом/л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сом/л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дизтопливо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0,9%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 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5,3%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4,2%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 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4,0%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 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4,8%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3,9%</w:t>
            </w:r>
          </w:p>
        </w:tc>
      </w:tr>
      <w:tr w:rsidR="0061576E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 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4,3%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3,5%</w:t>
            </w:r>
          </w:p>
        </w:tc>
      </w:tr>
    </w:tbl>
    <w:p w:rsidR="0061576E" w:rsidRDefault="006157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76E" w:rsidRDefault="000956FC">
      <w:pPr>
        <w:keepNext/>
        <w:keepLines/>
        <w:spacing w:before="40" w:after="0" w:line="240" w:lineRule="auto"/>
        <w:jc w:val="both"/>
        <w:outlineLvl w:val="3"/>
        <w:rPr>
          <w:rFonts w:ascii="Times New Roman" w:eastAsiaTheme="majorEastAsia" w:hAnsi="Times New Roman" w:cstheme="majorBidi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Theme="majorEastAsia" w:hAnsi="Times New Roman" w:cstheme="majorBidi"/>
          <w:b/>
          <w:i/>
          <w:iCs/>
          <w:sz w:val="24"/>
          <w:szCs w:val="24"/>
          <w:u w:val="single"/>
          <w:lang w:eastAsia="ru-RU"/>
        </w:rPr>
        <w:t>Реализационные риски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технической реализации предлагаемой меры могут возникнуть следующие риски: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Политический риск: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слабой поддержки предлагаемых мер со стороны МФ КР, МЭ КР и других государственных органов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Социально-экономический-риск: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бремени налогов, повышение цены ГСМ могут вызвать недовольство со стороны населения и предпринимателей.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Расчет экономических выгод: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исследованиями международных экспертов в результате предлагаемого увеличения бюджета дорожной отрасли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выгоды пользователей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 составят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10,7 млрд. сомов (табл.14)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 xml:space="preserve">Расчет экономии себестоимости автомобильных перевозок (САП) </w:t>
      </w:r>
    </w:p>
    <w:tbl>
      <w:tblPr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737"/>
        <w:gridCol w:w="964"/>
        <w:gridCol w:w="964"/>
        <w:gridCol w:w="964"/>
        <w:gridCol w:w="931"/>
        <w:gridCol w:w="997"/>
        <w:gridCol w:w="964"/>
        <w:gridCol w:w="964"/>
        <w:gridCol w:w="964"/>
      </w:tblGrid>
      <w:tr w:rsidR="0061576E">
        <w:trPr>
          <w:trHeight w:val="300"/>
          <w:tblHeader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тенс-ть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движения***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дор сети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Соотношение выгод и затрат**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Распределение бюджета по интенсивности движения, млн. сомов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Выгоды потребителей (экономия САП) при разных сценариях, млн. сомов</w:t>
            </w:r>
          </w:p>
        </w:tc>
      </w:tr>
      <w:tr w:rsidR="0061576E">
        <w:trPr>
          <w:trHeight w:val="255"/>
          <w:tblHeader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61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576E" w:rsidRDefault="0061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МПР=6*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МПР=5*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действ.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МПР=6*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МПР=5*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свод</w:t>
            </w:r>
          </w:p>
        </w:tc>
      </w:tr>
      <w:tr w:rsidR="0061576E">
        <w:trPr>
          <w:trHeight w:val="25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 &gt;300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4 781,6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4 781,6</w:t>
            </w:r>
          </w:p>
        </w:tc>
      </w:tr>
      <w:tr w:rsidR="0061576E">
        <w:trPr>
          <w:trHeight w:val="25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 &gt;1000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3 355,3</w:t>
            </w:r>
          </w:p>
        </w:tc>
      </w:tr>
      <w:tr w:rsidR="0061576E">
        <w:trPr>
          <w:trHeight w:val="25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 &gt;3000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993,3</w:t>
            </w:r>
          </w:p>
        </w:tc>
      </w:tr>
      <w:tr w:rsidR="0061576E">
        <w:trPr>
          <w:trHeight w:val="25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Интенсивность &gt;9000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1 616,8</w:t>
            </w:r>
          </w:p>
        </w:tc>
      </w:tr>
      <w:tr w:rsidR="0061576E">
        <w:trPr>
          <w:trHeight w:val="25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11 248,4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8 474,0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6E" w:rsidRDefault="0009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10 747,0</w:t>
            </w:r>
          </w:p>
        </w:tc>
      </w:tr>
    </w:tbl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</w:pPr>
      <w:r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  <w:t xml:space="preserve">Примечание: </w:t>
      </w:r>
    </w:p>
    <w:p w:rsidR="0061576E" w:rsidRDefault="000956FC">
      <w:pPr>
        <w:numPr>
          <w:ilvl w:val="0"/>
          <w:numId w:val="10"/>
        </w:numPr>
        <w:spacing w:before="160"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</w:pPr>
      <w:r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  <w:t xml:space="preserve">*** данные об интенсивности движения в соответствии с исследованием международного консультанта </w:t>
      </w:r>
      <w:r>
        <w:rPr>
          <w:rFonts w:ascii="Times New Roman" w:eastAsia="Calibri" w:hAnsi="Times New Roman" w:cs="Times New Roman"/>
          <w:i/>
          <w:iCs/>
          <w:color w:val="0F243E" w:themeColor="text2" w:themeShade="80"/>
          <w:sz w:val="20"/>
        </w:rPr>
        <w:t xml:space="preserve">ЕБРР «Исследование </w:t>
      </w:r>
      <w:r>
        <w:rPr>
          <w:rFonts w:ascii="Times New Roman" w:eastAsia="Calibri" w:hAnsi="Times New Roman" w:cs="Times New Roman"/>
          <w:i/>
          <w:iCs/>
          <w:color w:val="0F243E" w:themeColor="text2" w:themeShade="80"/>
          <w:sz w:val="20"/>
        </w:rPr>
        <w:t>финансирования дорожной отрасли КР», июль 2014г.</w:t>
      </w:r>
    </w:p>
    <w:p w:rsidR="0061576E" w:rsidRDefault="000956FC">
      <w:pPr>
        <w:numPr>
          <w:ilvl w:val="0"/>
          <w:numId w:val="10"/>
        </w:numPr>
        <w:spacing w:before="160"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</w:pPr>
      <w:r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  <w:t xml:space="preserve">** коэффициенты соотношения выгод и затрат приведены на основе исследования экспертов Всемирного банка </w:t>
      </w:r>
      <w:r>
        <w:rPr>
          <w:rFonts w:ascii="Times New Roman" w:eastAsia="Calibri" w:hAnsi="Times New Roman" w:cs="Times New Roman"/>
          <w:i/>
          <w:iCs/>
          <w:color w:val="0F243E" w:themeColor="text2" w:themeShade="80"/>
          <w:sz w:val="20"/>
        </w:rPr>
        <w:t>«Управление и финансирование дорог в рыночных условиях», 1999 г.</w:t>
      </w:r>
    </w:p>
    <w:p w:rsidR="0061576E" w:rsidRDefault="000956FC">
      <w:pPr>
        <w:numPr>
          <w:ilvl w:val="0"/>
          <w:numId w:val="10"/>
        </w:numPr>
        <w:spacing w:before="160"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</w:pPr>
      <w:r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  <w:t>* МПР – международный показатель ровнос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  <w:t>ти дорог (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0"/>
          <w:lang w:val="en-US"/>
        </w:rPr>
        <w:t>IRI</w:t>
      </w:r>
      <w:r>
        <w:rPr>
          <w:rFonts w:ascii="Times New Roman" w:eastAsia="Calibri" w:hAnsi="Times New Roman" w:cs="Times New Roman"/>
          <w:i/>
          <w:color w:val="0F243E" w:themeColor="text2" w:themeShade="80"/>
          <w:sz w:val="20"/>
        </w:rPr>
        <w:t xml:space="preserve">), 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Основной выводы экономического анализа: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Оцененные экономические выгоды в результате предлагаемого изменения законодательства превышают потенциальные экономические издержки более чем на 37% или практически на 3 млрд. сомов, что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0,6% ВВП.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Воздействие на заинтересованные стороны:</w:t>
      </w:r>
    </w:p>
    <w:tbl>
      <w:tblPr>
        <w:tblStyle w:val="a5"/>
        <w:tblW w:w="946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5921"/>
        <w:gridCol w:w="1675"/>
      </w:tblGrid>
      <w:tr w:rsidR="0061576E">
        <w:trPr>
          <w:tblHeader/>
        </w:trPr>
        <w:tc>
          <w:tcPr>
            <w:tcW w:w="1871" w:type="dxa"/>
            <w:shd w:val="clear" w:color="auto" w:fill="D9D9D9" w:themeFill="background1" w:themeFillShade="D9"/>
          </w:tcPr>
          <w:p w:rsidR="0061576E" w:rsidRDefault="000956F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Заинтересованные стороны</w:t>
            </w:r>
          </w:p>
        </w:tc>
        <w:tc>
          <w:tcPr>
            <w:tcW w:w="5921" w:type="dxa"/>
            <w:shd w:val="clear" w:color="auto" w:fill="D9D9D9" w:themeFill="background1" w:themeFillShade="D9"/>
          </w:tcPr>
          <w:p w:rsidR="0061576E" w:rsidRDefault="000956F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Позитивные последствия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61576E" w:rsidRDefault="000956F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Негативные последствия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транспорта и дорог 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управления дорожными активами на основе стабильных источников финансирования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ответственности перед обществом за эффективность использования бюджетных средств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реформы в дорожном секторе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управления госфинансами в дорожном секторе без чрезмерного давления на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рисков увеличения долгового бремени страны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бюджетных доходов (налоговых и неналоговых) за счет расширения налоговой базы в результате деятельности дорожно-строительных госпредприятий и развития частного рынка дорожных работ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экономики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предпринимательской активности в дорожном секторе и иных секторах экономики, улучшение макроэкономических показателей 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Правительства КР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деятельности ПКР, повышение прозрачности деятельности дорожной службы, снижение коррупции, повышение индекса доверия населения  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Жогорку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 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контроля и мониторинга деятельности ПКР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Органы МСУ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к региональным рынкам, повышение активности сельского населения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Предприниматели 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нефтетрейдеров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грузовых и пассажирских перевозчиков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дорожных условий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издержек (финансовых, временных)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товаров и услуг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Контролируемое повышение бремени налогов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бремя косвенных налогов в основном несут конечные потребители товаров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заинтересованности в контроле и мониторинге деятельности дорожной/транспортной службы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бремени налогов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(граждане)</w:t>
            </w:r>
          </w:p>
        </w:tc>
        <w:tc>
          <w:tcPr>
            <w:tcW w:w="5921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дорожных условий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заинтересованности в контроле и мониторинге деятельности дорожной/транспортной службы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роста цен в среднесрочном горизонте в результате снижения издержек производителей </w:t>
            </w:r>
          </w:p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нижение транспортных эксплуатационных затрат </w:t>
            </w:r>
          </w:p>
        </w:tc>
        <w:tc>
          <w:tcPr>
            <w:tcW w:w="1675" w:type="dxa"/>
          </w:tcPr>
          <w:p w:rsidR="0061576E" w:rsidRDefault="000956FC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Одномоментный рост цены на ГСМ в результате повышения ставки акциза </w:t>
            </w:r>
          </w:p>
        </w:tc>
      </w:tr>
    </w:tbl>
    <w:p w:rsidR="0061576E" w:rsidRDefault="0061576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E" w:rsidRDefault="000956FC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6" w:name="_Toc513732027"/>
      <w:bookmarkStart w:id="7" w:name="_Toc518468953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Отношение заинтересованных сторон к текущей ситуации </w:t>
      </w:r>
      <w:bookmarkEnd w:id="6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их влияние на изменения </w:t>
      </w:r>
      <w:bookmarkEnd w:id="7"/>
    </w:p>
    <w:p w:rsidR="0061576E" w:rsidRDefault="000956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 xml:space="preserve">Анализ заинтересованных сторон по степени </w:t>
      </w:r>
      <w:r>
        <w:rPr>
          <w:rFonts w:ascii="Times New Roman" w:eastAsia="Calibri" w:hAnsi="Times New Roman" w:cs="Times New Roman"/>
          <w:b/>
          <w:i/>
          <w:color w:val="0F243E" w:themeColor="text2" w:themeShade="80"/>
          <w:sz w:val="24"/>
          <w:szCs w:val="24"/>
        </w:rPr>
        <w:t>заинтересованности в регулировании и силе влияния на принятие решения</w:t>
      </w:r>
    </w:p>
    <w:tbl>
      <w:tblPr>
        <w:tblStyle w:val="a5"/>
        <w:tblW w:w="95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1531"/>
        <w:gridCol w:w="1191"/>
        <w:gridCol w:w="1191"/>
        <w:gridCol w:w="3742"/>
      </w:tblGrid>
      <w:tr w:rsidR="0061576E">
        <w:trPr>
          <w:tblHeader/>
        </w:trPr>
        <w:tc>
          <w:tcPr>
            <w:tcW w:w="187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Заинтересованные стороны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Круг полномочий в регулировании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Сила влияния на принятие решения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заинтересо-ванности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 реформе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:rsidR="0061576E" w:rsidRDefault="000956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Пояснения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Министерство транспорта и дорог 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управление </w:t>
            </w:r>
            <w:r>
              <w:rPr>
                <w:rFonts w:ascii="Times New Roman" w:hAnsi="Times New Roman" w:cs="Times New Roman"/>
                <w:lang w:eastAsia="ru-RU"/>
              </w:rPr>
              <w:t>дорожным хозяйством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обозначает наличие проблем и считает необходимым изменение ситуации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Министерство финансов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госфинансами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проблем, консервативно в вопросах увеличения расходов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lang w:eastAsia="ru-RU"/>
              </w:rPr>
              <w:t>экономики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экономическое регулирование, налоговая политика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проблем, осторожно в принятии непопулярных решений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Аппарат Правительства КР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координация,</w:t>
            </w:r>
          </w:p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согласование, мониторинг, контроль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</w:t>
            </w:r>
            <w:r>
              <w:rPr>
                <w:rFonts w:ascii="Times New Roman" w:hAnsi="Times New Roman" w:cs="Times New Roman"/>
                <w:lang w:eastAsia="ru-RU"/>
              </w:rPr>
              <w:t>, осторожно в принятии непопулярных решений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Жогорку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КР 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принятие решения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отмечает наличие проблем, осторожно в принятии непопулярных решений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Органы МСУ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потребители услуг, согласование политики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заинтересованы в </w:t>
            </w:r>
            <w:r>
              <w:rPr>
                <w:rFonts w:ascii="Times New Roman" w:hAnsi="Times New Roman" w:cs="Times New Roman"/>
                <w:lang w:eastAsia="ru-RU"/>
              </w:rPr>
              <w:t>улучшении доступности к региональным рынкам, слабое влияние на ситуацию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Предприниматели </w:t>
            </w:r>
          </w:p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лице: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нефтетрейдеров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грузовых и пассажирских перевозчиков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потребители услуг, согласование политики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отмечают наличие проблем, заинтересованы в улучш</w:t>
            </w:r>
            <w:r>
              <w:rPr>
                <w:rFonts w:ascii="Times New Roman" w:hAnsi="Times New Roman" w:cs="Times New Roman"/>
                <w:lang w:eastAsia="ru-RU"/>
              </w:rPr>
              <w:t>ении дорожных условий при небольшом уровне издержек, влияние на ситуацию среднее</w:t>
            </w:r>
          </w:p>
        </w:tc>
      </w:tr>
      <w:tr w:rsidR="0061576E">
        <w:tc>
          <w:tcPr>
            <w:tcW w:w="187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Население (граждане)</w:t>
            </w:r>
          </w:p>
        </w:tc>
        <w:tc>
          <w:tcPr>
            <w:tcW w:w="153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потребители услуг, согласование политики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1191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3742" w:type="dxa"/>
          </w:tcPr>
          <w:p w:rsidR="0061576E" w:rsidRDefault="000956F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требования по улучшению качества дорог и принятию мер со стороны госорганов, но в связи с низким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индексом доверия к государственным органам, возможна негативная реакция на потенциальное повышение цены на ГСМ</w:t>
            </w:r>
          </w:p>
        </w:tc>
      </w:tr>
    </w:tbl>
    <w:p w:rsidR="0061576E" w:rsidRDefault="006157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76E" w:rsidRDefault="000956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5.Рекомендуемое регулирование </w:t>
      </w:r>
    </w:p>
    <w:p w:rsidR="0061576E" w:rsidRDefault="000956FC">
      <w:pPr>
        <w:spacing w:before="16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Сравнение вариантов регулирования показало следующее:</w:t>
      </w:r>
    </w:p>
    <w:p w:rsidR="0061576E" w:rsidRDefault="000956FC">
      <w:pPr>
        <w:numPr>
          <w:ilvl w:val="0"/>
          <w:numId w:val="3"/>
        </w:numPr>
        <w:spacing w:before="16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обоих вариантах (№ 2 и № 3) достигаются цели регулиро</w:t>
      </w:r>
      <w:r>
        <w:rPr>
          <w:rFonts w:ascii="Times New Roman" w:eastAsia="Calibri" w:hAnsi="Times New Roman" w:cs="Times New Roman"/>
          <w:sz w:val="24"/>
          <w:szCs w:val="24"/>
        </w:rPr>
        <w:t>вания и положительный эффект от реализации данных мер политики, при этом с помощью варианта № 2 можно достигнуть дополнительных качественных характеристик функционирования дорожной отрасли;</w:t>
      </w:r>
    </w:p>
    <w:p w:rsidR="0061576E" w:rsidRDefault="000956FC">
      <w:pPr>
        <w:numPr>
          <w:ilvl w:val="0"/>
          <w:numId w:val="3"/>
        </w:numPr>
        <w:spacing w:before="16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то же время вариант № 3 не находит поддержки государственных орг</w:t>
      </w:r>
      <w:r>
        <w:rPr>
          <w:rFonts w:ascii="Times New Roman" w:eastAsia="Calibri" w:hAnsi="Times New Roman" w:cs="Times New Roman"/>
          <w:sz w:val="24"/>
          <w:szCs w:val="24"/>
        </w:rPr>
        <w:t>анов, по крайней мере на данном этапе</w:t>
      </w:r>
    </w:p>
    <w:p w:rsidR="0061576E" w:rsidRDefault="000956FC">
      <w:pPr>
        <w:numPr>
          <w:ilvl w:val="0"/>
          <w:numId w:val="3"/>
        </w:numPr>
        <w:spacing w:before="160"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№ 2 прошел все предусмотренные законодательством обсуждения.</w:t>
      </w:r>
    </w:p>
    <w:p w:rsidR="0061576E" w:rsidRDefault="0061576E">
      <w:pPr>
        <w:spacing w:before="16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76E" w:rsidRDefault="000956FC">
      <w:pPr>
        <w:spacing w:before="160"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по совокупности сравниваемых критериев вариант регулирования № 2 «Принять представленный законопроект» является наиболее приемлемым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полезным для всех заинтересованных лиц по причинам, описанным ранее. </w:t>
      </w:r>
    </w:p>
    <w:bookmarkEnd w:id="5"/>
    <w:p w:rsidR="0061576E" w:rsidRDefault="000956FC">
      <w:pPr>
        <w:spacing w:before="160" w:after="16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Учитывая ожидаемые положительные результаты от принятия подготовленных проектов нормативных правовых актов, рекомендуется дальнейшее их продвижение в соответствии с установленными проце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дурами и согласно пункта 13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Основных направлений развития дорожной отрасли в Кыргызской Республике на 2016-2025 годы, утвержденных постановлением Правительства 1 июля 2016 года №372.</w:t>
      </w:r>
    </w:p>
    <w:p w:rsidR="0061576E" w:rsidRDefault="0061576E"/>
    <w:p w:rsidR="0061576E" w:rsidRDefault="0061576E"/>
    <w:sectPr w:rsidR="006157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FC" w:rsidRDefault="000956FC">
      <w:pPr>
        <w:spacing w:after="0" w:line="240" w:lineRule="auto"/>
      </w:pPr>
      <w:r>
        <w:separator/>
      </w:r>
    </w:p>
  </w:endnote>
  <w:endnote w:type="continuationSeparator" w:id="0">
    <w:p w:rsidR="000956FC" w:rsidRDefault="0009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6E" w:rsidRDefault="006157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914375"/>
      <w:docPartObj>
        <w:docPartGallery w:val="Page Numbers (Bottom of Page)"/>
        <w:docPartUnique/>
      </w:docPartObj>
    </w:sdtPr>
    <w:sdtEndPr/>
    <w:sdtContent>
      <w:p w:rsidR="0061576E" w:rsidRDefault="000956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4E">
          <w:rPr>
            <w:noProof/>
          </w:rPr>
          <w:t>2</w:t>
        </w:r>
        <w:r>
          <w:fldChar w:fldCharType="end"/>
        </w:r>
      </w:p>
    </w:sdtContent>
  </w:sdt>
  <w:p w:rsidR="0061576E" w:rsidRDefault="006157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6E" w:rsidRDefault="0061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FC" w:rsidRDefault="000956FC">
      <w:pPr>
        <w:spacing w:after="0" w:line="240" w:lineRule="auto"/>
      </w:pPr>
      <w:r>
        <w:separator/>
      </w:r>
    </w:p>
  </w:footnote>
  <w:footnote w:type="continuationSeparator" w:id="0">
    <w:p w:rsidR="000956FC" w:rsidRDefault="0009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6E" w:rsidRDefault="00615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6E" w:rsidRDefault="006157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6E" w:rsidRDefault="00615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3F6"/>
    <w:multiLevelType w:val="hybridMultilevel"/>
    <w:tmpl w:val="882A5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46A8"/>
    <w:multiLevelType w:val="hybridMultilevel"/>
    <w:tmpl w:val="B558A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11F6"/>
    <w:multiLevelType w:val="hybridMultilevel"/>
    <w:tmpl w:val="7BD2A946"/>
    <w:lvl w:ilvl="0" w:tplc="A362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36A"/>
    <w:multiLevelType w:val="hybridMultilevel"/>
    <w:tmpl w:val="1EB4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B1367"/>
    <w:multiLevelType w:val="hybridMultilevel"/>
    <w:tmpl w:val="110432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14304C"/>
    <w:multiLevelType w:val="hybridMultilevel"/>
    <w:tmpl w:val="07780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D5F14"/>
    <w:multiLevelType w:val="hybridMultilevel"/>
    <w:tmpl w:val="99165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A289B"/>
    <w:multiLevelType w:val="multilevel"/>
    <w:tmpl w:val="FF2861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8">
    <w:nsid w:val="304E6B8C"/>
    <w:multiLevelType w:val="hybridMultilevel"/>
    <w:tmpl w:val="6324DE44"/>
    <w:lvl w:ilvl="0" w:tplc="56627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B2F83"/>
    <w:multiLevelType w:val="hybridMultilevel"/>
    <w:tmpl w:val="8A44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F4C06"/>
    <w:multiLevelType w:val="hybridMultilevel"/>
    <w:tmpl w:val="3E8E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61624"/>
    <w:multiLevelType w:val="hybridMultilevel"/>
    <w:tmpl w:val="5596B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04753"/>
    <w:multiLevelType w:val="multilevel"/>
    <w:tmpl w:val="657A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E"/>
    <w:rsid w:val="000956FC"/>
    <w:rsid w:val="0061576E"/>
    <w:rsid w:val="008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nbaev@yandex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Кубанычбек Т. Разаков</cp:lastModifiedBy>
  <cp:revision>2</cp:revision>
  <dcterms:created xsi:type="dcterms:W3CDTF">2018-11-30T07:55:00Z</dcterms:created>
  <dcterms:modified xsi:type="dcterms:W3CDTF">2018-11-30T07:55:00Z</dcterms:modified>
</cp:coreProperties>
</file>