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31" w:rsidRDefault="00357031" w:rsidP="00C77B6E">
      <w:pPr>
        <w:jc w:val="center"/>
        <w:rPr>
          <w:b/>
        </w:rPr>
      </w:pPr>
      <w:bookmarkStart w:id="0" w:name="_GoBack"/>
      <w:bookmarkEnd w:id="0"/>
    </w:p>
    <w:p w:rsidR="00357031" w:rsidRDefault="00357031" w:rsidP="00C77B6E">
      <w:pPr>
        <w:jc w:val="center"/>
        <w:rPr>
          <w:b/>
        </w:rPr>
      </w:pPr>
    </w:p>
    <w:p w:rsidR="00357031" w:rsidRDefault="00357031" w:rsidP="00C77B6E">
      <w:pPr>
        <w:jc w:val="center"/>
        <w:rPr>
          <w:b/>
        </w:rPr>
      </w:pPr>
    </w:p>
    <w:p w:rsidR="00357031" w:rsidRDefault="00357031" w:rsidP="00C77B6E">
      <w:pPr>
        <w:jc w:val="center"/>
        <w:rPr>
          <w:b/>
        </w:rPr>
      </w:pPr>
    </w:p>
    <w:p w:rsidR="00C77B6E" w:rsidRDefault="009F75B8" w:rsidP="00C77B6E">
      <w:pPr>
        <w:jc w:val="center"/>
        <w:rPr>
          <w:b/>
        </w:rPr>
      </w:pPr>
      <w:r>
        <w:rPr>
          <w:b/>
        </w:rPr>
        <w:t xml:space="preserve">Справочная информация </w:t>
      </w:r>
      <w:r w:rsidR="00C77B6E">
        <w:rPr>
          <w:b/>
        </w:rPr>
        <w:t>по поступлениям прямых иностранных инвестиций</w:t>
      </w:r>
    </w:p>
    <w:p w:rsidR="009F75B8" w:rsidRDefault="002D3B23" w:rsidP="00C77B6E">
      <w:pPr>
        <w:jc w:val="center"/>
        <w:rPr>
          <w:b/>
        </w:rPr>
      </w:pPr>
      <w:r>
        <w:rPr>
          <w:b/>
        </w:rPr>
        <w:t>за январь -</w:t>
      </w:r>
      <w:r w:rsidR="00875BD3">
        <w:rPr>
          <w:b/>
        </w:rPr>
        <w:t xml:space="preserve"> сентябрь</w:t>
      </w:r>
      <w:r w:rsidR="00C77B6E">
        <w:rPr>
          <w:b/>
        </w:rPr>
        <w:t xml:space="preserve"> 2020 год</w:t>
      </w:r>
      <w:r w:rsidR="00875BD3">
        <w:rPr>
          <w:b/>
        </w:rPr>
        <w:t>а</w:t>
      </w:r>
      <w:r w:rsidR="009F75B8">
        <w:rPr>
          <w:b/>
        </w:rPr>
        <w:t xml:space="preserve"> для использования в работе, </w:t>
      </w:r>
    </w:p>
    <w:p w:rsidR="00C77B6E" w:rsidRDefault="009F75B8" w:rsidP="00C77B6E">
      <w:pPr>
        <w:jc w:val="center"/>
        <w:rPr>
          <w:b/>
        </w:rPr>
      </w:pPr>
      <w:r>
        <w:rPr>
          <w:b/>
        </w:rPr>
        <w:t xml:space="preserve">подготовленная Управлением инвестиционной политики </w:t>
      </w:r>
    </w:p>
    <w:p w:rsidR="009F75B8" w:rsidRDefault="009F75B8" w:rsidP="00C77B6E">
      <w:pPr>
        <w:ind w:firstLine="567"/>
        <w:jc w:val="both"/>
        <w:rPr>
          <w:b/>
          <w:u w:val="single"/>
        </w:rPr>
      </w:pPr>
    </w:p>
    <w:p w:rsidR="00C77B6E" w:rsidRDefault="00C77B6E" w:rsidP="00C77B6E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>Общий обзор:</w:t>
      </w:r>
    </w:p>
    <w:p w:rsidR="00C77B6E" w:rsidRDefault="00C77B6E" w:rsidP="00C77B6E">
      <w:pPr>
        <w:jc w:val="both"/>
      </w:pPr>
    </w:p>
    <w:p w:rsidR="00C77B6E" w:rsidRDefault="00C77B6E" w:rsidP="00C77B6E">
      <w:pPr>
        <w:ind w:firstLine="567"/>
        <w:jc w:val="both"/>
        <w:rPr>
          <w:b/>
        </w:rPr>
      </w:pPr>
      <w:r>
        <w:t>По предварительным данным НСК КР, приток прямых иностранных инвестиц</w:t>
      </w:r>
      <w:r w:rsidR="00D9245A">
        <w:t>ий (далее - ПИИ) за январь - сентябрь</w:t>
      </w:r>
      <w:r>
        <w:t xml:space="preserve"> 2020 г. в сравнении с аналогичным периодом 2019 года снизился на </w:t>
      </w:r>
      <w:r w:rsidR="00B24E9E">
        <w:rPr>
          <w:b/>
        </w:rPr>
        <w:t xml:space="preserve">30,9 </w:t>
      </w:r>
      <w:r>
        <w:rPr>
          <w:b/>
        </w:rPr>
        <w:t>%</w:t>
      </w:r>
      <w:r>
        <w:t xml:space="preserve"> и составил </w:t>
      </w:r>
      <w:r>
        <w:rPr>
          <w:b/>
        </w:rPr>
        <w:t>$</w:t>
      </w:r>
      <w:r w:rsidR="00875BD3">
        <w:rPr>
          <w:b/>
        </w:rPr>
        <w:t xml:space="preserve"> </w:t>
      </w:r>
      <w:r w:rsidR="005D2263">
        <w:rPr>
          <w:b/>
        </w:rPr>
        <w:t>398 ,35</w:t>
      </w:r>
      <w:r w:rsidR="00875BD3">
        <w:rPr>
          <w:b/>
        </w:rPr>
        <w:t xml:space="preserve"> </w:t>
      </w:r>
      <w:r>
        <w:rPr>
          <w:b/>
        </w:rPr>
        <w:t>млн.</w:t>
      </w:r>
      <w:r w:rsidR="002D3B23">
        <w:rPr>
          <w:b/>
        </w:rPr>
        <w:t xml:space="preserve"> долл. США.</w:t>
      </w:r>
    </w:p>
    <w:p w:rsidR="002A7D4A" w:rsidRDefault="002A7D4A" w:rsidP="002A7D4A">
      <w:pPr>
        <w:ind w:firstLine="567"/>
        <w:jc w:val="both"/>
      </w:pPr>
      <w:r>
        <w:t xml:space="preserve">Согласно анализу </w:t>
      </w:r>
      <w:r>
        <w:rPr>
          <w:u w:val="single"/>
        </w:rPr>
        <w:t>ОТТОК превысил ПРИТОК</w:t>
      </w:r>
      <w:r>
        <w:t xml:space="preserve"> ПИИ </w:t>
      </w:r>
      <w:r w:rsidR="00B24E9E">
        <w:rPr>
          <w:b/>
        </w:rPr>
        <w:t xml:space="preserve">на 320,7 </w:t>
      </w:r>
      <w:r>
        <w:rPr>
          <w:b/>
        </w:rPr>
        <w:t xml:space="preserve"> млн.</w:t>
      </w:r>
      <w:r>
        <w:t xml:space="preserve"> долл. США</w:t>
      </w:r>
      <w:r w:rsidR="00B24E9E">
        <w:t xml:space="preserve"> и составил </w:t>
      </w:r>
      <w:r w:rsidR="002676AF">
        <w:rPr>
          <w:b/>
        </w:rPr>
        <w:t>719,08</w:t>
      </w:r>
      <w:r w:rsidR="00B24E9E" w:rsidRPr="00B24E9E">
        <w:rPr>
          <w:b/>
        </w:rPr>
        <w:t xml:space="preserve"> </w:t>
      </w:r>
      <w:r w:rsidR="00B24E9E">
        <w:rPr>
          <w:b/>
        </w:rPr>
        <w:t>млн.</w:t>
      </w:r>
      <w:r w:rsidR="00B24E9E">
        <w:t xml:space="preserve"> долл. США</w:t>
      </w:r>
      <w:r>
        <w:t>. Такой отток связан с пандем</w:t>
      </w:r>
      <w:r w:rsidR="009573D3">
        <w:t>ией и возможно с</w:t>
      </w:r>
      <w:r w:rsidR="002D3B23">
        <w:t xml:space="preserve"> парламентскими</w:t>
      </w:r>
      <w:r w:rsidR="009573D3">
        <w:t xml:space="preserve"> </w:t>
      </w:r>
      <w:r>
        <w:t>выборами.</w:t>
      </w:r>
    </w:p>
    <w:p w:rsidR="00C77B6E" w:rsidRDefault="00C77B6E" w:rsidP="00C77B6E">
      <w:pPr>
        <w:ind w:firstLine="567"/>
        <w:jc w:val="both"/>
        <w:rPr>
          <w:b/>
        </w:rPr>
      </w:pPr>
      <w:r>
        <w:t>Как известно, согласно уточненным данным</w:t>
      </w:r>
      <w:r w:rsidR="002D3B23">
        <w:t xml:space="preserve"> НСК КР, приток ПИИ в Кыргызскую Республику</w:t>
      </w:r>
      <w:r>
        <w:t xml:space="preserve"> в 2019 году в сравнении с 2018 годом увеличился на </w:t>
      </w:r>
      <w:r>
        <w:rPr>
          <w:b/>
        </w:rPr>
        <w:t xml:space="preserve">26,4 </w:t>
      </w:r>
      <w:r w:rsidR="002D3B23">
        <w:rPr>
          <w:b/>
        </w:rPr>
        <w:t>%</w:t>
      </w:r>
      <w:r>
        <w:t xml:space="preserve"> и составил </w:t>
      </w:r>
      <w:r>
        <w:rPr>
          <w:b/>
        </w:rPr>
        <w:t>1 076,92 млн. долларов США.</w:t>
      </w:r>
    </w:p>
    <w:p w:rsidR="00C77B6E" w:rsidRDefault="00C77B6E" w:rsidP="00C77B6E">
      <w:pPr>
        <w:ind w:firstLine="567"/>
        <w:jc w:val="both"/>
      </w:pPr>
      <w:r>
        <w:rPr>
          <w:u w:val="single"/>
        </w:rPr>
        <w:t>ПРИТОК</w:t>
      </w:r>
      <w:r>
        <w:t xml:space="preserve"> ПИИ превы</w:t>
      </w:r>
      <w:r w:rsidR="002A7D4A">
        <w:t>шал</w:t>
      </w:r>
      <w:r>
        <w:t xml:space="preserve"> уровень </w:t>
      </w:r>
      <w:r>
        <w:rPr>
          <w:u w:val="single"/>
        </w:rPr>
        <w:t>ОТТОКА</w:t>
      </w:r>
      <w:r>
        <w:t xml:space="preserve"> </w:t>
      </w:r>
      <w:r>
        <w:rPr>
          <w:b/>
        </w:rPr>
        <w:t>на 403,87 млн.</w:t>
      </w:r>
      <w:r>
        <w:t xml:space="preserve"> долл. США (в 2018 году – </w:t>
      </w:r>
      <w:r>
        <w:rPr>
          <w:b/>
        </w:rPr>
        <w:t>на 144,2 млн. долл. США</w:t>
      </w:r>
      <w:r>
        <w:t>).</w:t>
      </w:r>
    </w:p>
    <w:p w:rsidR="00C77B6E" w:rsidRDefault="00C77B6E" w:rsidP="00C77B6E">
      <w:pPr>
        <w:ind w:firstLine="567"/>
        <w:jc w:val="both"/>
      </w:pPr>
    </w:p>
    <w:p w:rsidR="00C77B6E" w:rsidRDefault="00C77B6E" w:rsidP="00C77B6E">
      <w:pPr>
        <w:ind w:firstLine="567"/>
        <w:jc w:val="right"/>
        <w:rPr>
          <w:i/>
        </w:rPr>
      </w:pPr>
      <w:r>
        <w:rPr>
          <w:i/>
        </w:rPr>
        <w:t>Таблица 1</w:t>
      </w:r>
    </w:p>
    <w:p w:rsidR="00C77B6E" w:rsidRDefault="00C77B6E" w:rsidP="00C77B6E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>П</w:t>
      </w:r>
      <w:r w:rsidR="002D3B23">
        <w:rPr>
          <w:b/>
          <w:u w:val="single"/>
        </w:rPr>
        <w:t>оступление ПИИ с  2015</w:t>
      </w:r>
      <w:r w:rsidR="00B24E9E">
        <w:rPr>
          <w:b/>
          <w:u w:val="single"/>
        </w:rPr>
        <w:t xml:space="preserve">- </w:t>
      </w:r>
      <w:proofErr w:type="spellStart"/>
      <w:r w:rsidR="00B24E9E">
        <w:rPr>
          <w:b/>
          <w:u w:val="single"/>
        </w:rPr>
        <w:t>янв</w:t>
      </w:r>
      <w:proofErr w:type="spellEnd"/>
      <w:r w:rsidR="00B24E9E">
        <w:rPr>
          <w:b/>
          <w:u w:val="single"/>
        </w:rPr>
        <w:t xml:space="preserve">-сентябрь </w:t>
      </w:r>
      <w:r>
        <w:rPr>
          <w:b/>
          <w:u w:val="single"/>
        </w:rPr>
        <w:t xml:space="preserve"> 2020 гг. (млн. долл. США)</w:t>
      </w:r>
    </w:p>
    <w:p w:rsidR="00001200" w:rsidRDefault="00001200" w:rsidP="00C77B6E">
      <w:pPr>
        <w:ind w:firstLine="567"/>
        <w:jc w:val="both"/>
        <w:rPr>
          <w:b/>
          <w:u w:val="single"/>
        </w:rPr>
      </w:pPr>
    </w:p>
    <w:p w:rsidR="00C77B6E" w:rsidRDefault="00001200" w:rsidP="00001200">
      <w:pPr>
        <w:jc w:val="right"/>
        <w:rPr>
          <w:b/>
        </w:rPr>
      </w:pPr>
      <w:r>
        <w:rPr>
          <w:i/>
        </w:rPr>
        <w:t>Таблица в млн. долл. США</w:t>
      </w:r>
    </w:p>
    <w:tbl>
      <w:tblPr>
        <w:tblStyle w:val="a5"/>
        <w:tblW w:w="4575" w:type="pct"/>
        <w:jc w:val="center"/>
        <w:tblLook w:val="04A0" w:firstRow="1" w:lastRow="0" w:firstColumn="1" w:lastColumn="0" w:noHBand="0" w:noVBand="1"/>
      </w:tblPr>
      <w:tblGrid>
        <w:gridCol w:w="1749"/>
        <w:gridCol w:w="955"/>
        <w:gridCol w:w="865"/>
        <w:gridCol w:w="865"/>
        <w:gridCol w:w="865"/>
        <w:gridCol w:w="1079"/>
        <w:gridCol w:w="1183"/>
        <w:gridCol w:w="1196"/>
      </w:tblGrid>
      <w:tr w:rsidR="002C2CF8" w:rsidTr="005B1D30">
        <w:trPr>
          <w:trHeight w:val="303"/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CF8" w:rsidRDefault="0000120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Показатели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8" w:rsidRDefault="002C2CF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2015г.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8" w:rsidRDefault="002C2CF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2016г.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8" w:rsidRDefault="002C2CF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2017г.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8" w:rsidRDefault="002C2CF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2018г.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8" w:rsidRDefault="002C2CF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2019 г.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00" w:rsidRPr="00632CEF" w:rsidRDefault="005B1D30" w:rsidP="00001200">
            <w:pPr>
              <w:jc w:val="center"/>
              <w:rPr>
                <w:bCs/>
                <w:i/>
                <w:lang w:eastAsia="en-US"/>
              </w:rPr>
            </w:pPr>
            <w:r w:rsidRPr="00632CEF">
              <w:rPr>
                <w:bCs/>
                <w:i/>
                <w:lang w:eastAsia="en-US"/>
              </w:rPr>
              <w:t>Январь-сентябрь</w:t>
            </w:r>
            <w:r w:rsidR="00001200" w:rsidRPr="00632CEF">
              <w:rPr>
                <w:bCs/>
                <w:i/>
                <w:lang w:eastAsia="en-US"/>
              </w:rPr>
              <w:t xml:space="preserve"> </w:t>
            </w:r>
          </w:p>
          <w:p w:rsidR="002C2CF8" w:rsidRPr="00001200" w:rsidRDefault="00001200" w:rsidP="00001200">
            <w:pPr>
              <w:jc w:val="center"/>
              <w:rPr>
                <w:bCs/>
                <w:i/>
                <w:lang w:eastAsia="en-US"/>
              </w:rPr>
            </w:pPr>
            <w:r w:rsidRPr="00632CEF">
              <w:rPr>
                <w:bCs/>
                <w:i/>
                <w:lang w:eastAsia="en-US"/>
              </w:rPr>
              <w:t>2019 г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8" w:rsidRDefault="002C2CF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Январь-</w:t>
            </w:r>
            <w:r w:rsidR="00B24E9E">
              <w:rPr>
                <w:b/>
                <w:u w:val="single"/>
              </w:rPr>
              <w:t xml:space="preserve"> сентябрь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:rsidR="002C2CF8" w:rsidRDefault="002C2CF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 г.</w:t>
            </w:r>
          </w:p>
        </w:tc>
      </w:tr>
      <w:tr w:rsidR="005B1D30" w:rsidTr="005B1D30">
        <w:trPr>
          <w:trHeight w:val="303"/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30" w:rsidRDefault="005B1D30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приток</w:t>
            </w:r>
          </w:p>
          <w:p w:rsidR="005B1D30" w:rsidRDefault="005B1D30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ПИИ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1 573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814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616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851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1 076,92</w:t>
            </w:r>
            <w:r w:rsidRPr="00B11B80">
              <w:rPr>
                <w:bCs/>
                <w:i/>
              </w:rPr>
              <w:t xml:space="preserve"> млн. долл. США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30" w:rsidRDefault="005B1D30" w:rsidP="00D2776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576,83</w:t>
            </w:r>
          </w:p>
          <w:p w:rsidR="005B1D30" w:rsidRPr="00B11B80" w:rsidRDefault="005B1D30" w:rsidP="00D2776F">
            <w:pPr>
              <w:contextualSpacing/>
              <w:jc w:val="center"/>
              <w:rPr>
                <w:b/>
              </w:rPr>
            </w:pPr>
            <w:r w:rsidRPr="00B11B80">
              <w:rPr>
                <w:bCs/>
                <w:i/>
              </w:rPr>
              <w:t>млн. долл. США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Pr="00B24E9E" w:rsidRDefault="005B1D30" w:rsidP="00B24E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398 ,35</w:t>
            </w:r>
            <w:r w:rsidRPr="00B11B80">
              <w:rPr>
                <w:bCs/>
                <w:i/>
              </w:rPr>
              <w:t xml:space="preserve"> млн. долл. США</w:t>
            </w:r>
          </w:p>
        </w:tc>
      </w:tr>
      <w:tr w:rsidR="005B1D30" w:rsidTr="005B1D30">
        <w:trPr>
          <w:trHeight w:val="303"/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30" w:rsidRDefault="005B1D30">
            <w:pPr>
              <w:jc w:val="both"/>
              <w:rPr>
                <w:bCs/>
                <w:i/>
                <w:lang w:val="ky-KG" w:eastAsia="en-US"/>
              </w:rPr>
            </w:pPr>
            <w:r>
              <w:rPr>
                <w:bCs/>
                <w:i/>
                <w:lang w:val="ky-KG" w:eastAsia="en-US"/>
              </w:rPr>
              <w:t>Темп роста, %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>
            <w:pPr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216,4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>
            <w:pPr>
              <w:jc w:val="center"/>
              <w:rPr>
                <w:bCs/>
                <w:i/>
                <w:szCs w:val="28"/>
                <w:lang w:eastAsia="en-US"/>
              </w:rPr>
            </w:pPr>
            <w:r>
              <w:rPr>
                <w:bCs/>
                <w:i/>
                <w:szCs w:val="28"/>
                <w:lang w:eastAsia="en-US"/>
              </w:rPr>
              <w:t>51,7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>
            <w:pPr>
              <w:jc w:val="center"/>
              <w:rPr>
                <w:bCs/>
                <w:i/>
                <w:szCs w:val="28"/>
                <w:lang w:eastAsia="en-US"/>
              </w:rPr>
            </w:pPr>
            <w:r>
              <w:rPr>
                <w:bCs/>
                <w:i/>
                <w:szCs w:val="28"/>
                <w:lang w:eastAsia="en-US"/>
              </w:rPr>
              <w:t>75,8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>
            <w:pPr>
              <w:jc w:val="center"/>
              <w:rPr>
                <w:bCs/>
                <w:i/>
                <w:szCs w:val="28"/>
                <w:lang w:eastAsia="en-US"/>
              </w:rPr>
            </w:pPr>
            <w:r>
              <w:rPr>
                <w:bCs/>
                <w:i/>
                <w:szCs w:val="28"/>
                <w:lang w:eastAsia="en-US"/>
              </w:rPr>
              <w:t>138,1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rFonts w:eastAsia="Calibri"/>
                <w:bCs/>
                <w:i/>
                <w:szCs w:val="28"/>
                <w:lang w:eastAsia="en-US"/>
              </w:rPr>
              <w:t>126,44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30" w:rsidRPr="00B11B80" w:rsidRDefault="005B1D30" w:rsidP="00D2776F">
            <w:pPr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167,3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2676AF">
            <w:pPr>
              <w:jc w:val="center"/>
              <w:rPr>
                <w:rFonts w:eastAsia="Calibri"/>
                <w:bCs/>
                <w:i/>
                <w:szCs w:val="28"/>
                <w:lang w:eastAsia="en-US"/>
              </w:rPr>
            </w:pPr>
            <w:r>
              <w:rPr>
                <w:rFonts w:eastAsia="Calibri"/>
                <w:bCs/>
                <w:i/>
                <w:szCs w:val="28"/>
                <w:lang w:eastAsia="en-US"/>
              </w:rPr>
              <w:t>69,1</w:t>
            </w:r>
          </w:p>
        </w:tc>
      </w:tr>
      <w:tr w:rsidR="005B1D30" w:rsidTr="005B1D30">
        <w:trPr>
          <w:trHeight w:val="303"/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30" w:rsidRDefault="005B1D30">
            <w:pPr>
              <w:jc w:val="both"/>
              <w:rPr>
                <w:b/>
                <w:bCs/>
                <w:lang w:val="ky-KG" w:eastAsia="en-US"/>
              </w:rPr>
            </w:pPr>
            <w:r>
              <w:rPr>
                <w:b/>
                <w:bCs/>
                <w:lang w:val="ky-KG" w:eastAsia="en-US"/>
              </w:rPr>
              <w:t xml:space="preserve">Всего отток </w:t>
            </w:r>
          </w:p>
          <w:p w:rsidR="005B1D30" w:rsidRDefault="005B1D30">
            <w:pPr>
              <w:jc w:val="both"/>
              <w:rPr>
                <w:b/>
                <w:bCs/>
                <w:lang w:val="ky-KG" w:eastAsia="en-US"/>
              </w:rPr>
            </w:pPr>
            <w:r>
              <w:rPr>
                <w:b/>
                <w:bCs/>
                <w:lang w:val="ky-KG" w:eastAsia="en-US"/>
              </w:rPr>
              <w:t>ПИИ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>
            <w:pPr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198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>
            <w:pPr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723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>
            <w:pPr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707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673,05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30" w:rsidRPr="0046369D" w:rsidRDefault="005B1D30">
            <w:pPr>
              <w:jc w:val="center"/>
              <w:rPr>
                <w:rFonts w:eastAsia="Calibri"/>
                <w:b/>
                <w:bCs/>
                <w:i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i/>
                <w:szCs w:val="28"/>
                <w:lang w:eastAsia="en-US"/>
              </w:rPr>
              <w:t>513,49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2676A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719,08</w:t>
            </w:r>
          </w:p>
        </w:tc>
      </w:tr>
      <w:tr w:rsidR="005B1D30" w:rsidTr="005B1D30">
        <w:trPr>
          <w:trHeight w:val="303"/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30" w:rsidRDefault="005B1D30">
            <w:pPr>
              <w:jc w:val="both"/>
              <w:rPr>
                <w:bCs/>
                <w:i/>
                <w:lang w:val="ky-KG" w:eastAsia="en-US"/>
              </w:rPr>
            </w:pPr>
            <w:r>
              <w:rPr>
                <w:bCs/>
                <w:i/>
                <w:lang w:val="ky-KG" w:eastAsia="en-US"/>
              </w:rPr>
              <w:t>Сальдо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>
            <w:pPr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1141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>
            <w:pPr>
              <w:jc w:val="center"/>
              <w:rPr>
                <w:bCs/>
                <w:i/>
                <w:szCs w:val="28"/>
                <w:lang w:eastAsia="en-US"/>
              </w:rPr>
            </w:pPr>
            <w:r>
              <w:rPr>
                <w:bCs/>
                <w:i/>
                <w:szCs w:val="28"/>
                <w:lang w:eastAsia="en-US"/>
              </w:rPr>
              <w:t>616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>
            <w:pPr>
              <w:jc w:val="center"/>
              <w:rPr>
                <w:bCs/>
                <w:i/>
                <w:szCs w:val="28"/>
                <w:lang w:eastAsia="en-US"/>
              </w:rPr>
            </w:pPr>
            <w:r>
              <w:rPr>
                <w:bCs/>
                <w:i/>
                <w:szCs w:val="28"/>
                <w:lang w:eastAsia="en-US"/>
              </w:rPr>
              <w:t>-107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>
            <w:pPr>
              <w:jc w:val="center"/>
              <w:rPr>
                <w:bCs/>
                <w:i/>
                <w:szCs w:val="28"/>
                <w:lang w:eastAsia="en-US"/>
              </w:rPr>
            </w:pPr>
            <w:r>
              <w:rPr>
                <w:bCs/>
                <w:i/>
                <w:szCs w:val="28"/>
                <w:lang w:eastAsia="en-US"/>
              </w:rPr>
              <w:t>144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>
            <w:pPr>
              <w:jc w:val="center"/>
              <w:rPr>
                <w:rFonts w:eastAsia="Calibri"/>
                <w:bCs/>
                <w:i/>
                <w:szCs w:val="28"/>
                <w:lang w:eastAsia="en-US"/>
              </w:rPr>
            </w:pPr>
            <w:r>
              <w:rPr>
                <w:i/>
                <w:lang w:eastAsia="en-US"/>
              </w:rPr>
              <w:t>403,87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30" w:rsidRPr="00001200" w:rsidRDefault="005B1D30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63,34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 w:rsidP="0058799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-320,75</w:t>
            </w:r>
          </w:p>
        </w:tc>
      </w:tr>
    </w:tbl>
    <w:p w:rsidR="00C77B6E" w:rsidRDefault="00C77B6E" w:rsidP="00C77B6E">
      <w:pPr>
        <w:tabs>
          <w:tab w:val="left" w:pos="6430"/>
        </w:tabs>
        <w:jc w:val="both"/>
        <w:rPr>
          <w:b/>
          <w:sz w:val="12"/>
          <w:szCs w:val="12"/>
        </w:rPr>
      </w:pPr>
    </w:p>
    <w:p w:rsidR="00C77B6E" w:rsidRDefault="00C77B6E" w:rsidP="00C77B6E">
      <w:pPr>
        <w:keepNext/>
        <w:ind w:left="360"/>
        <w:jc w:val="right"/>
        <w:rPr>
          <w:bCs/>
          <w:i/>
          <w:szCs w:val="18"/>
        </w:rPr>
      </w:pPr>
      <w:r>
        <w:rPr>
          <w:bCs/>
          <w:i/>
          <w:szCs w:val="18"/>
        </w:rPr>
        <w:lastRenderedPageBreak/>
        <w:t>График 1</w:t>
      </w:r>
    </w:p>
    <w:p w:rsidR="00C77B6E" w:rsidRDefault="00C77B6E" w:rsidP="00C77B6E">
      <w:pPr>
        <w:keepNext/>
        <w:ind w:left="360"/>
        <w:jc w:val="center"/>
        <w:rPr>
          <w:b/>
          <w:bCs/>
          <w:caps/>
          <w:szCs w:val="18"/>
          <w:u w:val="single"/>
        </w:rPr>
      </w:pPr>
      <w:r>
        <w:rPr>
          <w:b/>
          <w:bCs/>
          <w:szCs w:val="18"/>
          <w:u w:val="single"/>
        </w:rPr>
        <w:t>П</w:t>
      </w:r>
      <w:r w:rsidR="00C2609A">
        <w:rPr>
          <w:b/>
          <w:bCs/>
          <w:szCs w:val="18"/>
          <w:u w:val="single"/>
        </w:rPr>
        <w:t xml:space="preserve">оступление ПИИ за 2011- </w:t>
      </w:r>
      <w:proofErr w:type="spellStart"/>
      <w:r w:rsidR="00C2609A">
        <w:rPr>
          <w:b/>
          <w:bCs/>
          <w:szCs w:val="18"/>
          <w:u w:val="single"/>
        </w:rPr>
        <w:t>янв</w:t>
      </w:r>
      <w:proofErr w:type="spellEnd"/>
      <w:r w:rsidR="00C2609A">
        <w:rPr>
          <w:b/>
          <w:bCs/>
          <w:szCs w:val="18"/>
          <w:u w:val="single"/>
        </w:rPr>
        <w:t>-сентябрь</w:t>
      </w:r>
      <w:r>
        <w:rPr>
          <w:b/>
          <w:bCs/>
          <w:szCs w:val="18"/>
          <w:u w:val="single"/>
        </w:rPr>
        <w:t xml:space="preserve"> 2020 г. </w:t>
      </w:r>
      <w:r>
        <w:rPr>
          <w:b/>
          <w:bCs/>
          <w:caps/>
          <w:szCs w:val="18"/>
          <w:u w:val="single"/>
        </w:rPr>
        <w:t>(</w:t>
      </w:r>
      <w:r>
        <w:rPr>
          <w:b/>
          <w:bCs/>
          <w:szCs w:val="18"/>
          <w:u w:val="single"/>
        </w:rPr>
        <w:t xml:space="preserve">млн. долл. </w:t>
      </w:r>
      <w:r>
        <w:rPr>
          <w:b/>
          <w:bCs/>
          <w:caps/>
          <w:szCs w:val="18"/>
          <w:u w:val="single"/>
        </w:rPr>
        <w:t>США)</w:t>
      </w:r>
    </w:p>
    <w:p w:rsidR="002A7D4A" w:rsidRDefault="002A7D4A" w:rsidP="00C77B6E">
      <w:pPr>
        <w:keepNext/>
        <w:ind w:left="360"/>
        <w:jc w:val="center"/>
        <w:rPr>
          <w:b/>
          <w:bCs/>
          <w:caps/>
          <w:szCs w:val="18"/>
          <w:u w:val="single"/>
        </w:rPr>
      </w:pPr>
    </w:p>
    <w:p w:rsidR="00C77B6E" w:rsidRPr="001F7BE6" w:rsidRDefault="005C0FBC" w:rsidP="001F7BE6">
      <w:pPr>
        <w:tabs>
          <w:tab w:val="left" w:pos="6430"/>
        </w:tabs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4D501B15" wp14:editId="152BC4E1">
            <wp:extent cx="5756745" cy="2926080"/>
            <wp:effectExtent l="0" t="0" r="15875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7B6E" w:rsidRDefault="00C77B6E" w:rsidP="00C77B6E">
      <w:pPr>
        <w:tabs>
          <w:tab w:val="left" w:pos="6430"/>
        </w:tabs>
        <w:jc w:val="both"/>
        <w:rPr>
          <w:b/>
        </w:rPr>
      </w:pPr>
    </w:p>
    <w:p w:rsidR="002D3B23" w:rsidRDefault="002D3B23" w:rsidP="00C77B6E">
      <w:pPr>
        <w:tabs>
          <w:tab w:val="left" w:pos="709"/>
        </w:tabs>
        <w:jc w:val="center"/>
        <w:rPr>
          <w:b/>
          <w:u w:val="single"/>
        </w:rPr>
      </w:pPr>
    </w:p>
    <w:p w:rsidR="00C77B6E" w:rsidRDefault="00C77B6E" w:rsidP="00C77B6E">
      <w:pPr>
        <w:tabs>
          <w:tab w:val="left" w:pos="709"/>
        </w:tabs>
        <w:jc w:val="center"/>
        <w:rPr>
          <w:b/>
          <w:u w:val="single"/>
        </w:rPr>
      </w:pPr>
      <w:r>
        <w:rPr>
          <w:b/>
          <w:u w:val="single"/>
        </w:rPr>
        <w:t xml:space="preserve">Откуда поступили наибольший объем </w:t>
      </w:r>
      <w:r w:rsidR="002A7D4A">
        <w:rPr>
          <w:b/>
          <w:u w:val="single"/>
        </w:rPr>
        <w:t xml:space="preserve">ПИИ </w:t>
      </w:r>
      <w:r w:rsidR="00C2609A">
        <w:rPr>
          <w:b/>
          <w:u w:val="single"/>
        </w:rPr>
        <w:t xml:space="preserve">за </w:t>
      </w:r>
      <w:proofErr w:type="spellStart"/>
      <w:r w:rsidR="00C2609A">
        <w:rPr>
          <w:b/>
          <w:u w:val="single"/>
        </w:rPr>
        <w:t>янв</w:t>
      </w:r>
      <w:proofErr w:type="spellEnd"/>
      <w:r w:rsidR="00C2609A">
        <w:rPr>
          <w:b/>
          <w:u w:val="single"/>
        </w:rPr>
        <w:t>-сентябрь</w:t>
      </w:r>
      <w:r w:rsidR="002F69AA">
        <w:rPr>
          <w:b/>
          <w:u w:val="single"/>
        </w:rPr>
        <w:t xml:space="preserve"> 2020</w:t>
      </w:r>
      <w:r>
        <w:rPr>
          <w:b/>
          <w:u w:val="single"/>
        </w:rPr>
        <w:t>:</w:t>
      </w:r>
    </w:p>
    <w:p w:rsidR="00C77B6E" w:rsidRDefault="00C77B6E" w:rsidP="00C77B6E">
      <w:pPr>
        <w:tabs>
          <w:tab w:val="left" w:pos="709"/>
        </w:tabs>
        <w:jc w:val="center"/>
        <w:rPr>
          <w:b/>
        </w:rPr>
      </w:pPr>
    </w:p>
    <w:p w:rsidR="00947B40" w:rsidRPr="002D3B23" w:rsidRDefault="003B7AAD" w:rsidP="002D3B23">
      <w:pPr>
        <w:pStyle w:val="a4"/>
        <w:numPr>
          <w:ilvl w:val="0"/>
          <w:numId w:val="1"/>
        </w:numPr>
        <w:tabs>
          <w:tab w:val="left" w:pos="6430"/>
        </w:tabs>
        <w:jc w:val="both"/>
        <w:rPr>
          <w:b/>
          <w:u w:val="single"/>
        </w:rPr>
      </w:pPr>
      <w:r>
        <w:rPr>
          <w:b/>
        </w:rPr>
        <w:t>Из стран вне СНГ 355,1</w:t>
      </w:r>
      <w:r w:rsidR="002F69AA">
        <w:rPr>
          <w:b/>
        </w:rPr>
        <w:t xml:space="preserve"> млн.</w:t>
      </w:r>
      <w:r w:rsidR="00C77B6E">
        <w:t xml:space="preserve"> до</w:t>
      </w:r>
      <w:r>
        <w:t>лл. США (доля от всех ПИИ – 89</w:t>
      </w:r>
      <w:r w:rsidR="002F69AA">
        <w:t>,1</w:t>
      </w:r>
      <w:r w:rsidR="00C77B6E">
        <w:t xml:space="preserve">%), поступление ПИИ по сравнению </w:t>
      </w:r>
      <w:r w:rsidR="002D3B23">
        <w:t>к</w:t>
      </w:r>
      <w:r w:rsidR="002A7D4A">
        <w:t xml:space="preserve"> </w:t>
      </w:r>
      <w:r w:rsidR="00C77B6E">
        <w:t xml:space="preserve">соответствующему периоду с 2019 годом </w:t>
      </w:r>
      <w:r w:rsidR="00C77B6E">
        <w:rPr>
          <w:b/>
        </w:rPr>
        <w:t xml:space="preserve">снизился </w:t>
      </w:r>
      <w:r w:rsidR="00CC5E90">
        <w:rPr>
          <w:b/>
          <w:u w:val="single"/>
        </w:rPr>
        <w:t>на 31,3</w:t>
      </w:r>
      <w:r w:rsidR="00C77B6E">
        <w:rPr>
          <w:b/>
          <w:u w:val="single"/>
        </w:rPr>
        <w:t xml:space="preserve"> %;</w:t>
      </w:r>
    </w:p>
    <w:p w:rsidR="00C77B6E" w:rsidRPr="00947B40" w:rsidRDefault="00C77B6E" w:rsidP="00C77B6E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b/>
        </w:rPr>
      </w:pPr>
      <w:r>
        <w:rPr>
          <w:b/>
        </w:rPr>
        <w:t xml:space="preserve">Из стран </w:t>
      </w:r>
      <w:r w:rsidRPr="00CC5E90">
        <w:rPr>
          <w:b/>
        </w:rPr>
        <w:t xml:space="preserve">СНГ </w:t>
      </w:r>
      <w:r w:rsidR="00C2609A" w:rsidRPr="00CC5E90">
        <w:rPr>
          <w:b/>
        </w:rPr>
        <w:t>43,2</w:t>
      </w:r>
      <w:r w:rsidRPr="00CC5E90">
        <w:rPr>
          <w:b/>
        </w:rPr>
        <w:t xml:space="preserve"> млн</w:t>
      </w:r>
      <w:r>
        <w:rPr>
          <w:b/>
        </w:rPr>
        <w:t xml:space="preserve">. </w:t>
      </w:r>
      <w:r>
        <w:t xml:space="preserve">долл. США (доля от всех ПИИ – </w:t>
      </w:r>
      <w:r w:rsidR="00CC5E90">
        <w:t xml:space="preserve">10,9 </w:t>
      </w:r>
      <w:r>
        <w:t xml:space="preserve">%), </w:t>
      </w:r>
      <w:r w:rsidR="00947B40">
        <w:t xml:space="preserve">ОТТОК </w:t>
      </w:r>
      <w:r>
        <w:t xml:space="preserve">ПИИ по сравнению с </w:t>
      </w:r>
      <w:r w:rsidR="003B7AAD">
        <w:t>аналогичным периодом 2019 года</w:t>
      </w:r>
      <w:r>
        <w:t xml:space="preserve"> </w:t>
      </w:r>
      <w:r>
        <w:rPr>
          <w:b/>
          <w:u w:val="single"/>
        </w:rPr>
        <w:t xml:space="preserve">вырос на </w:t>
      </w:r>
      <w:r w:rsidR="003B7AAD">
        <w:rPr>
          <w:b/>
          <w:u w:val="single"/>
        </w:rPr>
        <w:t xml:space="preserve">11,1 </w:t>
      </w:r>
      <w:r>
        <w:rPr>
          <w:b/>
          <w:u w:val="single"/>
        </w:rPr>
        <w:t xml:space="preserve"> %.</w:t>
      </w:r>
    </w:p>
    <w:p w:rsidR="00C77B6E" w:rsidRDefault="00C77B6E" w:rsidP="00C77B6E">
      <w:pPr>
        <w:pStyle w:val="a4"/>
        <w:tabs>
          <w:tab w:val="left" w:pos="6430"/>
        </w:tabs>
        <w:jc w:val="both"/>
        <w:rPr>
          <w:b/>
        </w:rPr>
      </w:pPr>
    </w:p>
    <w:p w:rsidR="00C77B6E" w:rsidRDefault="00C77B6E" w:rsidP="00C77B6E">
      <w:pPr>
        <w:tabs>
          <w:tab w:val="left" w:pos="709"/>
        </w:tabs>
        <w:jc w:val="both"/>
        <w:rPr>
          <w:b/>
        </w:rPr>
      </w:pPr>
      <w:r>
        <w:rPr>
          <w:b/>
        </w:rPr>
        <w:tab/>
        <w:t>Из всех 50 субъектов откуда поступили ПИИ, наибольший объем инвестиций поступил из следующих стран:</w:t>
      </w:r>
    </w:p>
    <w:p w:rsidR="00C77B6E" w:rsidRDefault="00C77B6E" w:rsidP="00C77B6E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</w:pPr>
      <w:r>
        <w:rPr>
          <w:b/>
        </w:rPr>
        <w:t>Китай</w:t>
      </w:r>
      <w:r>
        <w:t xml:space="preserve"> – </w:t>
      </w:r>
      <w:r w:rsidR="00CC5E90">
        <w:t>113</w:t>
      </w:r>
      <w:r w:rsidR="009655EB">
        <w:t>,</w:t>
      </w:r>
      <w:r w:rsidR="00CC5E90">
        <w:t>56</w:t>
      </w:r>
      <w:r>
        <w:t xml:space="preserve"> млн. долл. США (доля от всех ПИИ – </w:t>
      </w:r>
      <w:r w:rsidR="009655EB">
        <w:t>28,5</w:t>
      </w:r>
      <w:r>
        <w:t xml:space="preserve">%), поступление ПИИ по сравнению с 2019 годом снизилось на </w:t>
      </w:r>
      <w:r w:rsidR="009655EB">
        <w:t>47,2</w:t>
      </w:r>
      <w:r w:rsidR="00147DE0">
        <w:t>%</w:t>
      </w:r>
      <w:r>
        <w:t>;</w:t>
      </w:r>
    </w:p>
    <w:p w:rsidR="0051231E" w:rsidRDefault="00C77B6E" w:rsidP="0051231E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2) </w:t>
      </w:r>
      <w:r>
        <w:tab/>
      </w:r>
      <w:r>
        <w:rPr>
          <w:b/>
        </w:rPr>
        <w:t xml:space="preserve">Канада </w:t>
      </w:r>
      <w:r>
        <w:t xml:space="preserve">– </w:t>
      </w:r>
      <w:r w:rsidR="009655EB">
        <w:t xml:space="preserve">86,49 </w:t>
      </w:r>
      <w:r w:rsidRPr="002D3B23">
        <w:t>млн. долл. США</w:t>
      </w:r>
      <w:r>
        <w:rPr>
          <w:b/>
        </w:rPr>
        <w:t xml:space="preserve"> </w:t>
      </w:r>
      <w:r>
        <w:t xml:space="preserve">(доля от всех ПИИ </w:t>
      </w:r>
      <w:r w:rsidR="009655EB">
        <w:t>21.7</w:t>
      </w:r>
      <w:r>
        <w:t xml:space="preserve"> %), поступление ПИИ по сравнению с 2019 </w:t>
      </w:r>
      <w:r w:rsidR="009655EB">
        <w:t>снизилось на 24,5</w:t>
      </w:r>
      <w:r w:rsidR="0051231E">
        <w:t>%;</w:t>
      </w:r>
    </w:p>
    <w:p w:rsidR="00C77B6E" w:rsidRDefault="00C77B6E" w:rsidP="00C77B6E">
      <w:pPr>
        <w:tabs>
          <w:tab w:val="left" w:pos="1134"/>
        </w:tabs>
        <w:spacing w:line="276" w:lineRule="auto"/>
        <w:ind w:firstLine="567"/>
        <w:jc w:val="both"/>
      </w:pPr>
      <w:r>
        <w:t>3)</w:t>
      </w:r>
      <w:r>
        <w:tab/>
      </w:r>
      <w:r>
        <w:rPr>
          <w:b/>
        </w:rPr>
        <w:t>Швейцария</w:t>
      </w:r>
      <w:r w:rsidR="009655EB">
        <w:t xml:space="preserve"> – 28,11  </w:t>
      </w:r>
      <w:r>
        <w:t xml:space="preserve"> млн.</w:t>
      </w:r>
      <w:r w:rsidR="009655EB">
        <w:t xml:space="preserve"> долл. США (доля от всех ПИИ 7,1</w:t>
      </w:r>
      <w:r>
        <w:t>%), поступление ПИИ по сравнен</w:t>
      </w:r>
      <w:r w:rsidR="009655EB">
        <w:t>ию с 2019 годом увеличилось на 295,8</w:t>
      </w:r>
      <w:r>
        <w:t>%;</w:t>
      </w:r>
    </w:p>
    <w:p w:rsidR="00C77B6E" w:rsidRDefault="00C77B6E" w:rsidP="00C77B6E">
      <w:pPr>
        <w:tabs>
          <w:tab w:val="left" w:pos="1134"/>
        </w:tabs>
        <w:spacing w:line="276" w:lineRule="auto"/>
        <w:ind w:firstLine="567"/>
        <w:jc w:val="both"/>
        <w:rPr>
          <w:u w:val="single"/>
        </w:rPr>
      </w:pPr>
      <w:r>
        <w:t>4)</w:t>
      </w:r>
      <w:r>
        <w:tab/>
      </w:r>
      <w:r>
        <w:rPr>
          <w:b/>
        </w:rPr>
        <w:t>Турция</w:t>
      </w:r>
      <w:r>
        <w:t xml:space="preserve"> – </w:t>
      </w:r>
      <w:r w:rsidR="009655EB">
        <w:t>27,53</w:t>
      </w:r>
      <w:r w:rsidRPr="002D3B23">
        <w:t xml:space="preserve"> млн</w:t>
      </w:r>
      <w:r>
        <w:t xml:space="preserve">. долл. США (доля от всех ПИИ – </w:t>
      </w:r>
      <w:r w:rsidR="009655EB">
        <w:t>6.9</w:t>
      </w:r>
      <w:r>
        <w:t xml:space="preserve">%), поступление ПИИ по сравнению с 2019 годом </w:t>
      </w:r>
      <w:r>
        <w:rPr>
          <w:u w:val="single"/>
        </w:rPr>
        <w:t>вырос</w:t>
      </w:r>
      <w:r w:rsidR="00C61EB6">
        <w:rPr>
          <w:u w:val="single"/>
        </w:rPr>
        <w:t>ло</w:t>
      </w:r>
      <w:r>
        <w:rPr>
          <w:u w:val="single"/>
        </w:rPr>
        <w:t xml:space="preserve"> на </w:t>
      </w:r>
      <w:r w:rsidR="009655EB">
        <w:rPr>
          <w:u w:val="single"/>
        </w:rPr>
        <w:t>8,</w:t>
      </w:r>
      <w:r w:rsidR="00BE60B6">
        <w:rPr>
          <w:u w:val="single"/>
        </w:rPr>
        <w:t>7</w:t>
      </w:r>
      <w:r>
        <w:rPr>
          <w:u w:val="single"/>
        </w:rPr>
        <w:t xml:space="preserve"> %;</w:t>
      </w:r>
    </w:p>
    <w:p w:rsidR="00C77B6E" w:rsidRDefault="00C77B6E" w:rsidP="00C77B6E">
      <w:pPr>
        <w:tabs>
          <w:tab w:val="left" w:pos="1134"/>
        </w:tabs>
        <w:spacing w:line="276" w:lineRule="auto"/>
        <w:ind w:firstLine="567"/>
        <w:jc w:val="both"/>
      </w:pPr>
      <w:r>
        <w:t xml:space="preserve">5) </w:t>
      </w:r>
      <w:r>
        <w:tab/>
      </w:r>
      <w:r>
        <w:rPr>
          <w:b/>
        </w:rPr>
        <w:t xml:space="preserve">Великобритания </w:t>
      </w:r>
      <w:r>
        <w:t xml:space="preserve">– </w:t>
      </w:r>
      <w:r w:rsidR="009655EB">
        <w:t>23,</w:t>
      </w:r>
      <w:r w:rsidR="00BE60B6" w:rsidRPr="002D3B23">
        <w:t>14</w:t>
      </w:r>
      <w:r w:rsidRPr="002D3B23">
        <w:t xml:space="preserve"> млн.</w:t>
      </w:r>
      <w:r>
        <w:t xml:space="preserve"> долл. США (доля от всех ПИИ – </w:t>
      </w:r>
      <w:r w:rsidR="009655EB">
        <w:t>5,8</w:t>
      </w:r>
      <w:r>
        <w:t>%), поступление ПИИ по сравнению с 2019 годом снизил</w:t>
      </w:r>
      <w:r w:rsidR="00C61EB6">
        <w:t>ось</w:t>
      </w:r>
      <w:r>
        <w:t xml:space="preserve"> на </w:t>
      </w:r>
      <w:r w:rsidR="009655EB">
        <w:t>6</w:t>
      </w:r>
      <w:r w:rsidR="00BE60B6">
        <w:t>9</w:t>
      </w:r>
      <w:r w:rsidR="009655EB">
        <w:t>,7</w:t>
      </w:r>
      <w:r>
        <w:t>%;</w:t>
      </w:r>
    </w:p>
    <w:p w:rsidR="00C77B6E" w:rsidRDefault="00C77B6E" w:rsidP="00C77B6E">
      <w:pPr>
        <w:tabs>
          <w:tab w:val="left" w:pos="1134"/>
        </w:tabs>
        <w:spacing w:line="276" w:lineRule="auto"/>
        <w:ind w:firstLine="567"/>
        <w:jc w:val="both"/>
      </w:pPr>
      <w:r>
        <w:t xml:space="preserve">6) </w:t>
      </w:r>
      <w:r>
        <w:tab/>
      </w:r>
      <w:r>
        <w:rPr>
          <w:b/>
        </w:rPr>
        <w:t xml:space="preserve">Нидерланды </w:t>
      </w:r>
      <w:r>
        <w:t xml:space="preserve">– </w:t>
      </w:r>
      <w:r w:rsidR="009655EB">
        <w:t>47,45</w:t>
      </w:r>
      <w:r>
        <w:t xml:space="preserve"> млн. долл. США (доля от всех ПИИ </w:t>
      </w:r>
      <w:r w:rsidR="005D2263">
        <w:t>11,9</w:t>
      </w:r>
      <w:r>
        <w:t>%), поступление ПИИ по срав</w:t>
      </w:r>
      <w:r w:rsidR="005D2263">
        <w:t xml:space="preserve">нению 2019 годом </w:t>
      </w:r>
      <w:proofErr w:type="spellStart"/>
      <w:r w:rsidR="005D2263">
        <w:t>увелился</w:t>
      </w:r>
      <w:proofErr w:type="spellEnd"/>
      <w:r w:rsidR="005D2263">
        <w:t xml:space="preserve"> на 2,1</w:t>
      </w:r>
      <w:r>
        <w:t xml:space="preserve"> %;</w:t>
      </w:r>
    </w:p>
    <w:p w:rsidR="00C77B6E" w:rsidRDefault="00C77B6E" w:rsidP="00C77B6E">
      <w:pPr>
        <w:tabs>
          <w:tab w:val="left" w:pos="1134"/>
        </w:tabs>
        <w:spacing w:line="276" w:lineRule="auto"/>
        <w:ind w:firstLine="567"/>
        <w:jc w:val="both"/>
      </w:pPr>
      <w:r>
        <w:t>7)</w:t>
      </w:r>
      <w:r>
        <w:tab/>
      </w:r>
      <w:r>
        <w:rPr>
          <w:b/>
        </w:rPr>
        <w:t>Российская Федерация</w:t>
      </w:r>
      <w:r>
        <w:t xml:space="preserve"> – </w:t>
      </w:r>
      <w:r w:rsidR="005D2263">
        <w:t>13,15</w:t>
      </w:r>
      <w:r w:rsidRPr="002D3B23">
        <w:t xml:space="preserve"> млн</w:t>
      </w:r>
      <w:r>
        <w:t xml:space="preserve">. долл. США (доля от всех ПИИ – </w:t>
      </w:r>
      <w:r w:rsidR="005D2263">
        <w:t>3,3</w:t>
      </w:r>
      <w:r>
        <w:t>%), поступление ПИИ по сравнению с 2019 годом снизил</w:t>
      </w:r>
      <w:r w:rsidR="00C61EB6">
        <w:t>ось</w:t>
      </w:r>
      <w:r>
        <w:t xml:space="preserve"> на </w:t>
      </w:r>
      <w:r w:rsidR="005D2263">
        <w:t>59,3</w:t>
      </w:r>
      <w:r>
        <w:t xml:space="preserve"> %;</w:t>
      </w:r>
    </w:p>
    <w:p w:rsidR="00C77B6E" w:rsidRDefault="00C77B6E" w:rsidP="00C77B6E">
      <w:pPr>
        <w:tabs>
          <w:tab w:val="left" w:pos="1134"/>
        </w:tabs>
        <w:spacing w:line="276" w:lineRule="auto"/>
        <w:ind w:firstLine="567"/>
        <w:jc w:val="both"/>
      </w:pPr>
      <w:r>
        <w:t>8)</w:t>
      </w:r>
      <w:r>
        <w:rPr>
          <w:b/>
        </w:rPr>
        <w:tab/>
        <w:t xml:space="preserve">Казахстан </w:t>
      </w:r>
      <w:r>
        <w:t xml:space="preserve"> – </w:t>
      </w:r>
      <w:r w:rsidR="005D2263">
        <w:t>27,52</w:t>
      </w:r>
      <w:r w:rsidRPr="002D3B23">
        <w:t xml:space="preserve"> млн. долл</w:t>
      </w:r>
      <w:r>
        <w:t xml:space="preserve">. США (доля от всех ПИИ – </w:t>
      </w:r>
      <w:r w:rsidR="005D2263">
        <w:t>6,9</w:t>
      </w:r>
      <w:r>
        <w:t xml:space="preserve"> %), поступление ПИИ по сравнению с 2019 годом </w:t>
      </w:r>
      <w:r>
        <w:rPr>
          <w:u w:val="single"/>
        </w:rPr>
        <w:t>вырос</w:t>
      </w:r>
      <w:r w:rsidR="00C61EB6">
        <w:rPr>
          <w:u w:val="single"/>
        </w:rPr>
        <w:t>ло</w:t>
      </w:r>
      <w:r>
        <w:rPr>
          <w:u w:val="single"/>
        </w:rPr>
        <w:t xml:space="preserve"> на </w:t>
      </w:r>
      <w:r w:rsidR="005D2263">
        <w:rPr>
          <w:u w:val="single"/>
        </w:rPr>
        <w:t>9,0</w:t>
      </w:r>
      <w:r>
        <w:rPr>
          <w:u w:val="single"/>
        </w:rPr>
        <w:t>%.</w:t>
      </w:r>
    </w:p>
    <w:p w:rsidR="00C77B6E" w:rsidRDefault="00C77B6E" w:rsidP="00C77B6E">
      <w:pPr>
        <w:tabs>
          <w:tab w:val="left" w:pos="1134"/>
        </w:tabs>
        <w:spacing w:line="276" w:lineRule="auto"/>
        <w:ind w:firstLine="567"/>
        <w:jc w:val="center"/>
      </w:pPr>
    </w:p>
    <w:p w:rsidR="00C77B6E" w:rsidRDefault="005F4D36" w:rsidP="00C77B6E">
      <w:pPr>
        <w:tabs>
          <w:tab w:val="left" w:pos="1134"/>
        </w:tabs>
        <w:spacing w:line="276" w:lineRule="auto"/>
        <w:ind w:firstLine="567"/>
        <w:jc w:val="center"/>
        <w:rPr>
          <w:b/>
          <w:u w:val="single"/>
        </w:rPr>
      </w:pPr>
      <w:r>
        <w:rPr>
          <w:b/>
          <w:u w:val="single"/>
        </w:rPr>
        <w:t xml:space="preserve">Структура поступления ПИИ за </w:t>
      </w:r>
      <w:proofErr w:type="spellStart"/>
      <w:r>
        <w:rPr>
          <w:b/>
          <w:u w:val="single"/>
        </w:rPr>
        <w:t>я</w:t>
      </w:r>
      <w:r w:rsidR="00C77B6E">
        <w:rPr>
          <w:b/>
          <w:u w:val="single"/>
        </w:rPr>
        <w:t>н</w:t>
      </w:r>
      <w:r>
        <w:rPr>
          <w:b/>
          <w:u w:val="single"/>
        </w:rPr>
        <w:t>в</w:t>
      </w:r>
      <w:proofErr w:type="spellEnd"/>
      <w:r w:rsidR="00C77B6E">
        <w:rPr>
          <w:b/>
          <w:u w:val="single"/>
        </w:rPr>
        <w:t>-</w:t>
      </w:r>
      <w:r w:rsidR="005D2263">
        <w:rPr>
          <w:b/>
          <w:u w:val="single"/>
        </w:rPr>
        <w:t>сентябрь</w:t>
      </w:r>
      <w:r w:rsidR="00C77B6E">
        <w:rPr>
          <w:b/>
          <w:u w:val="single"/>
        </w:rPr>
        <w:t xml:space="preserve"> 2020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03"/>
        <w:gridCol w:w="1132"/>
        <w:gridCol w:w="1240"/>
        <w:gridCol w:w="968"/>
        <w:gridCol w:w="1132"/>
        <w:gridCol w:w="1240"/>
        <w:gridCol w:w="956"/>
      </w:tblGrid>
      <w:tr w:rsidR="00C77B6E" w:rsidTr="00C77B6E">
        <w:trPr>
          <w:trHeight w:val="315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>
            <w:pPr>
              <w:jc w:val="both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 </w:t>
            </w:r>
          </w:p>
          <w:p w:rsidR="00C77B6E" w:rsidRDefault="00C77B6E">
            <w:pPr>
              <w:jc w:val="both"/>
              <w:rPr>
                <w:b/>
                <w:i/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 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Приток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Отток</w:t>
            </w:r>
          </w:p>
        </w:tc>
      </w:tr>
      <w:tr w:rsidR="00C77B6E" w:rsidTr="00C77B6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6E" w:rsidRDefault="00C77B6E">
            <w:pPr>
              <w:rPr>
                <w:b/>
                <w:i/>
                <w:iCs/>
                <w:lang w:eastAsia="en-US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E" w:rsidRDefault="00C77B6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млн. долларов США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процентах к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E" w:rsidRDefault="00C77B6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млн. долларов США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процентах к</w:t>
            </w:r>
          </w:p>
        </w:tc>
      </w:tr>
      <w:tr w:rsidR="00C77B6E" w:rsidTr="00C77B6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6E" w:rsidRDefault="00C77B6E">
            <w:pPr>
              <w:rPr>
                <w:b/>
                <w:i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6E" w:rsidRDefault="00C77B6E">
            <w:pPr>
              <w:rPr>
                <w:bCs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E" w:rsidRDefault="00C77B6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прошлому году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E" w:rsidRDefault="00C77B6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6E" w:rsidRDefault="00C77B6E">
            <w:pPr>
              <w:rPr>
                <w:bCs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E" w:rsidRDefault="00C77B6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прошлому году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E" w:rsidRDefault="00C77B6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итогу</w:t>
            </w:r>
          </w:p>
        </w:tc>
      </w:tr>
      <w:tr w:rsidR="00C77B6E" w:rsidTr="00C77B6E">
        <w:trPr>
          <w:trHeight w:val="28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5D226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398,35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 w:rsidP="00AE1B4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 w:rsidR="005D2263">
              <w:rPr>
                <w:b/>
                <w:bCs/>
                <w:lang w:eastAsia="en-US"/>
              </w:rPr>
              <w:t>30,9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5D226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719,08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 w:rsidP="00AE1B4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</w:t>
            </w:r>
            <w:r w:rsidR="005D2263">
              <w:rPr>
                <w:b/>
                <w:bCs/>
                <w:lang w:eastAsia="en-US"/>
              </w:rPr>
              <w:t>40,0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</w:tr>
      <w:tr w:rsidR="00C77B6E" w:rsidTr="00C77B6E">
        <w:trPr>
          <w:trHeight w:val="24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Собственный капитал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3C49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 w:rsidP="00AE1B4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3C49CA">
              <w:rPr>
                <w:b/>
                <w:lang w:eastAsia="en-US"/>
              </w:rPr>
              <w:t>44,2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3C49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3C49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A622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3C49CA">
              <w:rPr>
                <w:b/>
                <w:lang w:eastAsia="en-US"/>
              </w:rPr>
              <w:t>51,8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3C49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2,2</w:t>
            </w:r>
          </w:p>
        </w:tc>
      </w:tr>
      <w:tr w:rsidR="00C77B6E" w:rsidTr="00C77B6E">
        <w:trPr>
          <w:trHeight w:val="24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Финансовый лизинг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77B6E" w:rsidTr="00C77B6E">
        <w:trPr>
          <w:trHeight w:val="24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Реинвестированная прибыль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3C49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238,63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3C49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-11,3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3C49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3C49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310,61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 w:rsidP="00A622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  <w:r w:rsidR="003C49CA">
              <w:rPr>
                <w:b/>
                <w:lang w:eastAsia="en-US"/>
              </w:rPr>
              <w:t>221,5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3C49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43,2</w:t>
            </w:r>
          </w:p>
        </w:tc>
      </w:tr>
      <w:tr w:rsidR="00C77B6E" w:rsidTr="00C77B6E">
        <w:trPr>
          <w:trHeight w:val="24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инвестиции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3C49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147,48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 w:rsidP="00A622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 w:rsidR="003C49CA">
              <w:rPr>
                <w:b/>
                <w:lang w:eastAsia="en-US"/>
              </w:rPr>
              <w:t>48,4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3C49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3C49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392,36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 w:rsidP="00A622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  <w:r w:rsidR="003C49CA">
              <w:rPr>
                <w:b/>
                <w:lang w:eastAsia="en-US"/>
              </w:rPr>
              <w:t>2,3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3C49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54,6</w:t>
            </w:r>
          </w:p>
        </w:tc>
      </w:tr>
      <w:tr w:rsidR="00C77B6E" w:rsidTr="00C77B6E">
        <w:trPr>
          <w:trHeight w:val="24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6E" w:rsidRDefault="00C77B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кредиты, полученные от нерезидентов</w:t>
            </w:r>
          </w:p>
          <w:p w:rsidR="00C77B6E" w:rsidRDefault="00C77B6E">
            <w:pPr>
              <w:jc w:val="both"/>
              <w:rPr>
                <w:lang w:eastAsia="en-US"/>
              </w:rPr>
            </w:pPr>
          </w:p>
          <w:p w:rsidR="00C77B6E" w:rsidRDefault="00C77B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торговые кредиты</w:t>
            </w:r>
          </w:p>
          <w:p w:rsidR="00C77B6E" w:rsidRDefault="00C77B6E">
            <w:pPr>
              <w:jc w:val="both"/>
              <w:rPr>
                <w:lang w:eastAsia="en-US"/>
              </w:rPr>
            </w:pPr>
          </w:p>
          <w:p w:rsidR="00C77B6E" w:rsidRDefault="00C77B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прочая кредиторская задолженность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7B6E" w:rsidRDefault="003C4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129,29</w:t>
            </w:r>
          </w:p>
          <w:p w:rsidR="00C77B6E" w:rsidRDefault="00C77B6E">
            <w:pPr>
              <w:jc w:val="center"/>
              <w:rPr>
                <w:lang w:eastAsia="en-US"/>
              </w:rPr>
            </w:pPr>
          </w:p>
          <w:p w:rsidR="00C77B6E" w:rsidRDefault="00C77B6E" w:rsidP="003C49CA">
            <w:pPr>
              <w:rPr>
                <w:lang w:eastAsia="en-US"/>
              </w:rPr>
            </w:pPr>
          </w:p>
          <w:p w:rsidR="003C49CA" w:rsidRDefault="003C49CA" w:rsidP="003C49CA">
            <w:pPr>
              <w:rPr>
                <w:lang w:eastAsia="en-US"/>
              </w:rPr>
            </w:pPr>
            <w:r>
              <w:rPr>
                <w:lang w:eastAsia="en-US"/>
              </w:rPr>
              <w:t>15,83</w:t>
            </w:r>
          </w:p>
          <w:p w:rsidR="00C77B6E" w:rsidRDefault="00C77B6E">
            <w:pPr>
              <w:jc w:val="center"/>
              <w:rPr>
                <w:lang w:eastAsia="en-US"/>
              </w:rPr>
            </w:pPr>
          </w:p>
          <w:p w:rsidR="00C77B6E" w:rsidRDefault="003C4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7B6E" w:rsidRDefault="00C77B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3C49CA">
              <w:rPr>
                <w:lang w:eastAsia="en-US"/>
              </w:rPr>
              <w:t>48,1</w:t>
            </w:r>
          </w:p>
          <w:p w:rsidR="00C77B6E" w:rsidRDefault="00C77B6E">
            <w:pPr>
              <w:jc w:val="center"/>
              <w:rPr>
                <w:lang w:eastAsia="en-US"/>
              </w:rPr>
            </w:pPr>
          </w:p>
          <w:p w:rsidR="00C77B6E" w:rsidRDefault="00C77B6E">
            <w:pPr>
              <w:jc w:val="center"/>
              <w:rPr>
                <w:lang w:eastAsia="en-US"/>
              </w:rPr>
            </w:pPr>
          </w:p>
          <w:p w:rsidR="00C77B6E" w:rsidRDefault="00C77B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3C49CA">
              <w:rPr>
                <w:lang w:eastAsia="en-US"/>
              </w:rPr>
              <w:t>56,8</w:t>
            </w:r>
          </w:p>
          <w:p w:rsidR="00C77B6E" w:rsidRDefault="00C77B6E">
            <w:pPr>
              <w:jc w:val="center"/>
              <w:rPr>
                <w:lang w:eastAsia="en-US"/>
              </w:rPr>
            </w:pPr>
          </w:p>
          <w:p w:rsidR="00C77B6E" w:rsidRDefault="003C4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+4232,1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7B6E" w:rsidRDefault="003C4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  <w:p w:rsidR="00C77B6E" w:rsidRDefault="00C77B6E">
            <w:pPr>
              <w:jc w:val="center"/>
              <w:rPr>
                <w:lang w:eastAsia="en-US"/>
              </w:rPr>
            </w:pPr>
          </w:p>
          <w:p w:rsidR="00C77B6E" w:rsidRDefault="00C77B6E">
            <w:pPr>
              <w:jc w:val="center"/>
              <w:rPr>
                <w:lang w:eastAsia="en-US"/>
              </w:rPr>
            </w:pPr>
          </w:p>
          <w:p w:rsidR="00C77B6E" w:rsidRDefault="003C4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  <w:p w:rsidR="00C77B6E" w:rsidRDefault="00C77B6E">
            <w:pPr>
              <w:jc w:val="center"/>
              <w:rPr>
                <w:lang w:eastAsia="en-US"/>
              </w:rPr>
            </w:pPr>
          </w:p>
          <w:p w:rsidR="00C77B6E" w:rsidRDefault="003C4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7B6E" w:rsidRDefault="003C4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303,52</w:t>
            </w:r>
          </w:p>
          <w:p w:rsidR="00C77B6E" w:rsidRDefault="00C77B6E">
            <w:pPr>
              <w:jc w:val="center"/>
              <w:rPr>
                <w:lang w:eastAsia="en-US"/>
              </w:rPr>
            </w:pPr>
          </w:p>
          <w:p w:rsidR="00C77B6E" w:rsidRDefault="00C77B6E">
            <w:pPr>
              <w:jc w:val="center"/>
              <w:rPr>
                <w:lang w:eastAsia="en-US"/>
              </w:rPr>
            </w:pPr>
          </w:p>
          <w:p w:rsidR="00C77B6E" w:rsidRDefault="003C4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88,81</w:t>
            </w:r>
          </w:p>
          <w:p w:rsidR="00C77B6E" w:rsidRDefault="00C77B6E">
            <w:pPr>
              <w:jc w:val="center"/>
              <w:rPr>
                <w:lang w:eastAsia="en-US"/>
              </w:rPr>
            </w:pPr>
          </w:p>
          <w:p w:rsidR="00C77B6E" w:rsidRDefault="002E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0,029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7B6E" w:rsidRDefault="00C77B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3C49CA">
              <w:rPr>
                <w:lang w:eastAsia="en-US"/>
              </w:rPr>
              <w:t>8,3</w:t>
            </w:r>
          </w:p>
          <w:p w:rsidR="00C77B6E" w:rsidRDefault="00C77B6E">
            <w:pPr>
              <w:jc w:val="center"/>
              <w:rPr>
                <w:lang w:eastAsia="en-US"/>
              </w:rPr>
            </w:pPr>
          </w:p>
          <w:p w:rsidR="00C77B6E" w:rsidRDefault="00C77B6E">
            <w:pPr>
              <w:jc w:val="center"/>
              <w:rPr>
                <w:lang w:eastAsia="en-US"/>
              </w:rPr>
            </w:pPr>
          </w:p>
          <w:p w:rsidR="00C77B6E" w:rsidRDefault="003C4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-13,4</w:t>
            </w:r>
          </w:p>
          <w:p w:rsidR="00C77B6E" w:rsidRDefault="00C77B6E">
            <w:pPr>
              <w:jc w:val="center"/>
              <w:rPr>
                <w:lang w:eastAsia="en-US"/>
              </w:rPr>
            </w:pPr>
          </w:p>
          <w:p w:rsidR="00C77B6E" w:rsidRDefault="00C77B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2E2ED8">
              <w:rPr>
                <w:lang w:eastAsia="en-US"/>
              </w:rPr>
              <w:t>95,0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7B6E" w:rsidRDefault="003C4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42,2</w:t>
            </w:r>
          </w:p>
          <w:p w:rsidR="00C77B6E" w:rsidRDefault="00C77B6E">
            <w:pPr>
              <w:jc w:val="center"/>
              <w:rPr>
                <w:lang w:eastAsia="en-US"/>
              </w:rPr>
            </w:pPr>
          </w:p>
          <w:p w:rsidR="00C77B6E" w:rsidRDefault="00C77B6E">
            <w:pPr>
              <w:jc w:val="center"/>
              <w:rPr>
                <w:lang w:eastAsia="en-US"/>
              </w:rPr>
            </w:pPr>
          </w:p>
          <w:p w:rsidR="00C77B6E" w:rsidRDefault="003C4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  <w:p w:rsidR="00C77B6E" w:rsidRDefault="00C77B6E">
            <w:pPr>
              <w:jc w:val="center"/>
              <w:rPr>
                <w:lang w:eastAsia="en-US"/>
              </w:rPr>
            </w:pPr>
          </w:p>
          <w:p w:rsidR="00C77B6E" w:rsidRDefault="00115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C77B6E" w:rsidRDefault="00C77B6E" w:rsidP="00C77B6E">
      <w:pPr>
        <w:jc w:val="both"/>
        <w:rPr>
          <w:b/>
        </w:rPr>
      </w:pPr>
    </w:p>
    <w:p w:rsidR="00C77B6E" w:rsidRDefault="00C77B6E" w:rsidP="00C77B6E">
      <w:pPr>
        <w:jc w:val="both"/>
      </w:pPr>
      <w:r>
        <w:rPr>
          <w:b/>
        </w:rPr>
        <w:tab/>
        <w:t xml:space="preserve">Прямые иностранные инвестиции – </w:t>
      </w:r>
      <w:r>
        <w:t>финансовые и нефинансовые вложения иностранного инвестора, если его доля в совместном капитале составляет не менее 10 процентов;</w:t>
      </w:r>
    </w:p>
    <w:p w:rsidR="00C77B6E" w:rsidRDefault="00C77B6E" w:rsidP="00C77B6E">
      <w:pPr>
        <w:jc w:val="both"/>
      </w:pPr>
      <w:r>
        <w:rPr>
          <w:b/>
        </w:rPr>
        <w:tab/>
        <w:t xml:space="preserve">Собственный капитал – </w:t>
      </w:r>
      <w:r>
        <w:t>означает инвестиции из собственного капитала иностранного инвестора;</w:t>
      </w:r>
    </w:p>
    <w:p w:rsidR="00C77B6E" w:rsidRDefault="00C77B6E" w:rsidP="00C77B6E">
      <w:pPr>
        <w:jc w:val="both"/>
      </w:pPr>
      <w:r>
        <w:tab/>
      </w:r>
      <w:r>
        <w:rPr>
          <w:b/>
        </w:rPr>
        <w:t>Финансовый лизинг</w:t>
      </w:r>
      <w:r>
        <w:t xml:space="preserve"> – вид долгосрочной аренды, при котором иностранный инвестор, как хозяйствующий субъект передает местному хозяйствующему субъекту имущество в качестве предмета аренды за определенную плату, во временное пользование и владение;</w:t>
      </w:r>
    </w:p>
    <w:p w:rsidR="00C77B6E" w:rsidRDefault="00C77B6E" w:rsidP="00C77B6E">
      <w:pPr>
        <w:jc w:val="both"/>
      </w:pPr>
      <w:r>
        <w:tab/>
      </w:r>
      <w:r>
        <w:rPr>
          <w:b/>
        </w:rPr>
        <w:t>Реинвестированная прибыль</w:t>
      </w:r>
      <w:r>
        <w:t xml:space="preserve"> – инвестирование суммы прибыли от инвестиционной деятельности;</w:t>
      </w:r>
    </w:p>
    <w:p w:rsidR="00C77B6E" w:rsidRDefault="00C77B6E" w:rsidP="00C77B6E">
      <w:pPr>
        <w:jc w:val="both"/>
      </w:pPr>
      <w:r>
        <w:tab/>
      </w:r>
      <w:r>
        <w:rPr>
          <w:b/>
        </w:rPr>
        <w:t>Торговые кредиты</w:t>
      </w:r>
      <w:r>
        <w:t xml:space="preserve"> – заем средств на оплату товаров и услуг по договорам между покупателем и поставщиком (прямым инвестором).</w:t>
      </w:r>
    </w:p>
    <w:p w:rsidR="00C77B6E" w:rsidRDefault="00C77B6E" w:rsidP="00C77B6E">
      <w:pPr>
        <w:jc w:val="both"/>
      </w:pPr>
      <w:r>
        <w:tab/>
      </w:r>
    </w:p>
    <w:p w:rsidR="00C77B6E" w:rsidRDefault="00C77B6E" w:rsidP="00C77B6E">
      <w:pPr>
        <w:jc w:val="both"/>
        <w:rPr>
          <w:b/>
        </w:rPr>
      </w:pPr>
    </w:p>
    <w:p w:rsidR="00C77B6E" w:rsidRDefault="00C77B6E" w:rsidP="00C77B6E">
      <w:pPr>
        <w:jc w:val="center"/>
        <w:rPr>
          <w:b/>
          <w:u w:val="single"/>
        </w:rPr>
      </w:pPr>
      <w:r>
        <w:rPr>
          <w:b/>
          <w:u w:val="single"/>
        </w:rPr>
        <w:t>Поступление ПИ</w:t>
      </w:r>
      <w:r w:rsidR="002E2ED8">
        <w:rPr>
          <w:b/>
          <w:u w:val="single"/>
        </w:rPr>
        <w:t xml:space="preserve">И по регионам страны за </w:t>
      </w:r>
      <w:proofErr w:type="spellStart"/>
      <w:r w:rsidR="002E2ED8">
        <w:rPr>
          <w:b/>
          <w:u w:val="single"/>
        </w:rPr>
        <w:t>янв</w:t>
      </w:r>
      <w:proofErr w:type="spellEnd"/>
      <w:r w:rsidR="002E2ED8">
        <w:rPr>
          <w:b/>
          <w:u w:val="single"/>
        </w:rPr>
        <w:t>-сентябрь</w:t>
      </w:r>
      <w:r>
        <w:rPr>
          <w:b/>
          <w:u w:val="single"/>
        </w:rPr>
        <w:t xml:space="preserve"> 2020 г.</w:t>
      </w:r>
    </w:p>
    <w:p w:rsidR="00C77B6E" w:rsidRDefault="00C77B6E" w:rsidP="00C77B6E">
      <w:pPr>
        <w:jc w:val="center"/>
        <w:rPr>
          <w:b/>
          <w:u w:val="single"/>
        </w:rPr>
      </w:pPr>
    </w:p>
    <w:p w:rsidR="00C77B6E" w:rsidRPr="00441123" w:rsidRDefault="00C77B6E" w:rsidP="00C77B6E">
      <w:pPr>
        <w:ind w:firstLine="709"/>
        <w:jc w:val="both"/>
      </w:pPr>
      <w:r>
        <w:rPr>
          <w:color w:val="212529"/>
          <w:shd w:val="clear" w:color="auto" w:fill="FFFFFF"/>
        </w:rPr>
        <w:t xml:space="preserve">Структура поступления ПИИ по </w:t>
      </w:r>
      <w:r w:rsidRPr="00441123">
        <w:rPr>
          <w:color w:val="212529"/>
          <w:shd w:val="clear" w:color="auto" w:fill="FFFFFF"/>
        </w:rPr>
        <w:t>регионам отражает неравномерное развитие регионов страны. В общем объеме наибольший уде</w:t>
      </w:r>
      <w:r w:rsidR="007524F0" w:rsidRPr="00441123">
        <w:rPr>
          <w:color w:val="212529"/>
          <w:shd w:val="clear" w:color="auto" w:fill="FFFFFF"/>
        </w:rPr>
        <w:t>льный вес ПИИ</w:t>
      </w:r>
      <w:r w:rsidR="00441123" w:rsidRPr="00441123">
        <w:rPr>
          <w:color w:val="212529"/>
          <w:shd w:val="clear" w:color="auto" w:fill="FFFFFF"/>
        </w:rPr>
        <w:t xml:space="preserve"> приходится на Бишкек</w:t>
      </w:r>
      <w:r w:rsidR="007524F0" w:rsidRPr="00441123">
        <w:rPr>
          <w:color w:val="212529"/>
          <w:shd w:val="clear" w:color="auto" w:fill="FFFFFF"/>
        </w:rPr>
        <w:t xml:space="preserve"> – за </w:t>
      </w:r>
      <w:proofErr w:type="spellStart"/>
      <w:r w:rsidR="007524F0" w:rsidRPr="00441123">
        <w:rPr>
          <w:color w:val="212529"/>
          <w:shd w:val="clear" w:color="auto" w:fill="FFFFFF"/>
        </w:rPr>
        <w:t>янв</w:t>
      </w:r>
      <w:proofErr w:type="spellEnd"/>
      <w:r w:rsidR="007524F0" w:rsidRPr="00441123">
        <w:rPr>
          <w:color w:val="212529"/>
          <w:shd w:val="clear" w:color="auto" w:fill="FFFFFF"/>
        </w:rPr>
        <w:t>-сентябрь</w:t>
      </w:r>
      <w:r w:rsidRPr="00441123">
        <w:rPr>
          <w:color w:val="212529"/>
          <w:shd w:val="clear" w:color="auto" w:fill="FFFFFF"/>
        </w:rPr>
        <w:t xml:space="preserve"> 2020г.</w:t>
      </w:r>
      <w:r w:rsidRPr="00441123">
        <w:t xml:space="preserve"> </w:t>
      </w:r>
      <w:r w:rsidRPr="00441123">
        <w:rPr>
          <w:color w:val="212529"/>
          <w:shd w:val="clear" w:color="auto" w:fill="FFFFFF"/>
        </w:rPr>
        <w:t xml:space="preserve">доля достигла </w:t>
      </w:r>
      <w:r w:rsidR="00441123" w:rsidRPr="00441123">
        <w:rPr>
          <w:b/>
        </w:rPr>
        <w:t>32,0% (127,39</w:t>
      </w:r>
      <w:r w:rsidRPr="00441123">
        <w:rPr>
          <w:b/>
        </w:rPr>
        <w:t xml:space="preserve"> млн. долл. США</w:t>
      </w:r>
      <w:r w:rsidR="00C61EB6" w:rsidRPr="00441123">
        <w:rPr>
          <w:b/>
        </w:rPr>
        <w:t>)</w:t>
      </w:r>
      <w:r w:rsidRPr="00441123">
        <w:rPr>
          <w:color w:val="212529"/>
          <w:shd w:val="clear" w:color="auto" w:fill="FFFFFF"/>
        </w:rPr>
        <w:t>.</w:t>
      </w:r>
      <w:r w:rsidRPr="00441123">
        <w:t xml:space="preserve"> </w:t>
      </w:r>
    </w:p>
    <w:p w:rsidR="00C77B6E" w:rsidRDefault="00C77B6E" w:rsidP="00C77B6E">
      <w:pPr>
        <w:ind w:left="7080" w:firstLine="708"/>
        <w:jc w:val="both"/>
        <w:rPr>
          <w:i/>
        </w:rPr>
      </w:pPr>
      <w:r w:rsidRPr="00441123">
        <w:rPr>
          <w:i/>
        </w:rPr>
        <w:t>Таблица 2</w:t>
      </w:r>
    </w:p>
    <w:tbl>
      <w:tblPr>
        <w:tblStyle w:val="1-2"/>
        <w:tblpPr w:leftFromText="180" w:rightFromText="180" w:vertAnchor="text" w:horzAnchor="margin" w:tblpXSpec="center" w:tblpY="194"/>
        <w:tblW w:w="5000" w:type="pct"/>
        <w:tblLook w:val="04A0" w:firstRow="1" w:lastRow="0" w:firstColumn="1" w:lastColumn="0" w:noHBand="0" w:noVBand="1"/>
      </w:tblPr>
      <w:tblGrid>
        <w:gridCol w:w="3752"/>
        <w:gridCol w:w="1600"/>
        <w:gridCol w:w="1309"/>
        <w:gridCol w:w="2910"/>
      </w:tblGrid>
      <w:tr w:rsidR="00C77B6E" w:rsidTr="002E2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6E" w:rsidRDefault="00C77B6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6E" w:rsidRDefault="00C77B6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C77B6E" w:rsidRDefault="00C77B6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млн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долл</w:t>
            </w:r>
            <w:proofErr w:type="spellEnd"/>
            <w:r>
              <w:rPr>
                <w:lang w:eastAsia="en-US"/>
              </w:rPr>
              <w:t>. США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6E" w:rsidRDefault="00C77B6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C77B6E" w:rsidRDefault="00C77B6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E" w:rsidRPr="00C77B6E" w:rsidRDefault="00C77B6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US"/>
              </w:rPr>
            </w:pPr>
            <w:r w:rsidRPr="00C77B6E">
              <w:rPr>
                <w:lang w:val="ru-RU" w:eastAsia="en-US"/>
              </w:rPr>
              <w:t>Темп роста % к аналогичному периоду прошлого года</w:t>
            </w:r>
          </w:p>
        </w:tc>
      </w:tr>
      <w:tr w:rsidR="00C77B6E" w:rsidTr="002E2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E" w:rsidRDefault="00C77B6E">
            <w:pPr>
              <w:keepNext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Всего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E" w:rsidRPr="002E2ED8" w:rsidRDefault="002E2ED8">
            <w:pPr>
              <w:tabs>
                <w:tab w:val="center" w:pos="6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lang w:val="ru-RU" w:eastAsia="en-US"/>
              </w:rPr>
            </w:pPr>
            <w:r>
              <w:rPr>
                <w:b/>
                <w:bCs/>
                <w:lang w:val="ru-RU" w:eastAsia="en-US"/>
              </w:rPr>
              <w:t>398,35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E" w:rsidRDefault="00C77B6E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E" w:rsidRPr="007524F0" w:rsidRDefault="007524F0" w:rsidP="00115F7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u-RU" w:eastAsia="en-US"/>
              </w:rPr>
            </w:pPr>
            <w:r>
              <w:rPr>
                <w:b/>
                <w:bCs/>
                <w:lang w:val="ru-RU" w:eastAsia="en-US"/>
              </w:rPr>
              <w:t>-30,9</w:t>
            </w:r>
          </w:p>
        </w:tc>
      </w:tr>
      <w:tr w:rsidR="002E2ED8" w:rsidTr="002E2ED8">
        <w:trPr>
          <w:trHeight w:val="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ED8" w:rsidRDefault="002E2ED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Баткенская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область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8" w:rsidRPr="00640FA6" w:rsidRDefault="0064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US"/>
              </w:rPr>
            </w:pPr>
            <w:r>
              <w:rPr>
                <w:lang w:val="ru-RU" w:eastAsia="en-US"/>
              </w:rPr>
              <w:t>2,78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ED8" w:rsidRPr="007524F0" w:rsidRDefault="002E2E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4F0">
              <w:t>0,7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8" w:rsidRPr="007524F0" w:rsidRDefault="00752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US"/>
              </w:rPr>
            </w:pPr>
            <w:r>
              <w:rPr>
                <w:lang w:val="ru-RU" w:eastAsia="en-US"/>
              </w:rPr>
              <w:t>+16,0</w:t>
            </w:r>
          </w:p>
        </w:tc>
      </w:tr>
      <w:tr w:rsidR="002E2ED8" w:rsidTr="002E2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ED8" w:rsidRDefault="002E2ED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Джалал-Абадская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область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8" w:rsidRPr="007414A0" w:rsidRDefault="00741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eastAsia="en-US"/>
              </w:rPr>
            </w:pPr>
            <w:r>
              <w:rPr>
                <w:lang w:val="ru-RU" w:eastAsia="en-US"/>
              </w:rPr>
              <w:t>64,35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ED8" w:rsidRPr="007524F0" w:rsidRDefault="002E2E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4F0">
              <w:t>16,2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8" w:rsidRPr="007524F0" w:rsidRDefault="007524F0" w:rsidP="00115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lang w:val="ru-RU" w:eastAsia="en-US"/>
              </w:rPr>
              <w:t>72,2</w:t>
            </w:r>
          </w:p>
        </w:tc>
      </w:tr>
      <w:tr w:rsidR="002E2ED8" w:rsidTr="002E2ED8">
        <w:trPr>
          <w:trHeight w:val="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ED8" w:rsidRDefault="002E2ED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Иссык-Кульская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область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8" w:rsidRPr="007414A0" w:rsidRDefault="00741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US"/>
              </w:rPr>
            </w:pPr>
            <w:r>
              <w:rPr>
                <w:lang w:val="ru-RU" w:eastAsia="en-US"/>
              </w:rPr>
              <w:t>83,51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ED8" w:rsidRPr="007524F0" w:rsidRDefault="002E2E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4F0">
              <w:t>21,0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8" w:rsidRPr="001F2D3C" w:rsidRDefault="007524F0" w:rsidP="007524F0">
            <w:pPr>
              <w:pStyle w:val="a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val="ru-RU" w:eastAsia="en-US"/>
              </w:rPr>
              <w:t xml:space="preserve">      - 27,2</w:t>
            </w:r>
          </w:p>
        </w:tc>
      </w:tr>
      <w:tr w:rsidR="002E2ED8" w:rsidTr="002E2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ED8" w:rsidRDefault="002E2ED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Нарынская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область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8" w:rsidRDefault="002E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ED8" w:rsidRPr="007524F0" w:rsidRDefault="002E2E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4F0">
              <w:t>-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8" w:rsidRDefault="002E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E2ED8" w:rsidTr="002E2ED8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ED8" w:rsidRDefault="002E2ED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Ошская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область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8" w:rsidRPr="007414A0" w:rsidRDefault="00741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US"/>
              </w:rPr>
            </w:pPr>
            <w:r>
              <w:rPr>
                <w:lang w:val="ru-RU" w:eastAsia="en-US"/>
              </w:rPr>
              <w:t>4,89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ED8" w:rsidRPr="007524F0" w:rsidRDefault="002E2E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4F0">
              <w:t>1,2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8" w:rsidRPr="007524F0" w:rsidRDefault="00752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  <w:r>
              <w:rPr>
                <w:lang w:val="ru-RU" w:eastAsia="en-US"/>
              </w:rPr>
              <w:t>714,5</w:t>
            </w:r>
          </w:p>
        </w:tc>
      </w:tr>
      <w:tr w:rsidR="002E2ED8" w:rsidTr="002E2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ED8" w:rsidRDefault="002E2ED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Таласская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область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8" w:rsidRPr="007414A0" w:rsidRDefault="00741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eastAsia="en-US"/>
              </w:rPr>
            </w:pPr>
            <w:r>
              <w:rPr>
                <w:lang w:val="ru-RU" w:eastAsia="en-US"/>
              </w:rPr>
              <w:t>24,89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ED8" w:rsidRPr="007524F0" w:rsidRDefault="002E2E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4F0">
              <w:t>6,2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8" w:rsidRPr="007524F0" w:rsidRDefault="00752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eastAsia="en-US"/>
              </w:rPr>
            </w:pPr>
            <w:r>
              <w:rPr>
                <w:lang w:val="ru-RU" w:eastAsia="en-US"/>
              </w:rPr>
              <w:t>+71221,2</w:t>
            </w:r>
          </w:p>
        </w:tc>
      </w:tr>
      <w:tr w:rsidR="002E2ED8" w:rsidTr="002E2ED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pct"/>
            <w:tcBorders>
              <w:top w:val="single" w:sz="4" w:space="0" w:color="auto"/>
              <w:left w:val="single" w:sz="4" w:space="0" w:color="auto"/>
              <w:bottom w:val="single" w:sz="8" w:space="0" w:color="CF7B79" w:themeColor="accent2" w:themeTint="BF"/>
              <w:right w:val="single" w:sz="4" w:space="0" w:color="auto"/>
            </w:tcBorders>
            <w:vAlign w:val="bottom"/>
            <w:hideMark/>
          </w:tcPr>
          <w:p w:rsidR="002E2ED8" w:rsidRDefault="002E2ED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Чуйская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область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8" w:space="0" w:color="CF7B79" w:themeColor="accent2" w:themeTint="BF"/>
              <w:right w:val="single" w:sz="4" w:space="0" w:color="auto"/>
            </w:tcBorders>
            <w:hideMark/>
          </w:tcPr>
          <w:p w:rsidR="002E2ED8" w:rsidRPr="007414A0" w:rsidRDefault="00741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US"/>
              </w:rPr>
            </w:pPr>
            <w:r>
              <w:rPr>
                <w:lang w:val="ru-RU" w:eastAsia="en-US"/>
              </w:rPr>
              <w:t>90,15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8" w:space="0" w:color="CF7B79" w:themeColor="accent2" w:themeTint="BF"/>
              <w:right w:val="single" w:sz="4" w:space="0" w:color="auto"/>
            </w:tcBorders>
            <w:vAlign w:val="bottom"/>
            <w:hideMark/>
          </w:tcPr>
          <w:p w:rsidR="002E2ED8" w:rsidRPr="007524F0" w:rsidRDefault="002E2E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4F0">
              <w:t>22,6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8" w:space="0" w:color="CF7B79" w:themeColor="accent2" w:themeTint="BF"/>
              <w:right w:val="single" w:sz="4" w:space="0" w:color="auto"/>
            </w:tcBorders>
            <w:hideMark/>
          </w:tcPr>
          <w:p w:rsidR="002E2ED8" w:rsidRPr="007524F0" w:rsidRDefault="007524F0" w:rsidP="001F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US"/>
              </w:rPr>
            </w:pPr>
            <w:r>
              <w:rPr>
                <w:lang w:val="ru-RU" w:eastAsia="en-US"/>
              </w:rPr>
              <w:t>+34,6</w:t>
            </w:r>
          </w:p>
        </w:tc>
      </w:tr>
      <w:tr w:rsidR="002E2ED8" w:rsidTr="002E2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ED8" w:rsidRDefault="002E2E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г. </w:t>
            </w:r>
            <w:proofErr w:type="spellStart"/>
            <w:r>
              <w:rPr>
                <w:lang w:eastAsia="en-US"/>
              </w:rPr>
              <w:t>Бишкек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8" w:rsidRPr="007414A0" w:rsidRDefault="00741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eastAsia="en-US"/>
              </w:rPr>
            </w:pPr>
            <w:r>
              <w:rPr>
                <w:lang w:val="ru-RU" w:eastAsia="en-US"/>
              </w:rPr>
              <w:t>127,39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ED8" w:rsidRPr="007524F0" w:rsidRDefault="002E2E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4F0">
              <w:t>32,0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8" w:rsidRPr="007524F0" w:rsidRDefault="00752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val="ru-RU" w:eastAsia="en-US"/>
              </w:rPr>
              <w:t>20,3</w:t>
            </w:r>
          </w:p>
        </w:tc>
      </w:tr>
      <w:tr w:rsidR="002E2ED8" w:rsidTr="002E2ED8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ED8" w:rsidRDefault="002E2E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г. </w:t>
            </w:r>
            <w:proofErr w:type="spellStart"/>
            <w:r>
              <w:rPr>
                <w:lang w:eastAsia="en-US"/>
              </w:rPr>
              <w:t>Ош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8" w:rsidRPr="007414A0" w:rsidRDefault="00741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US"/>
              </w:rPr>
            </w:pPr>
            <w:r>
              <w:rPr>
                <w:lang w:eastAsia="en-US"/>
              </w:rPr>
              <w:t>0,</w:t>
            </w:r>
            <w:r>
              <w:rPr>
                <w:lang w:val="ru-RU" w:eastAsia="en-US"/>
              </w:rPr>
              <w:t>37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ED8" w:rsidRPr="007524F0" w:rsidRDefault="002E2E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4F0">
              <w:t>0,1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8" w:rsidRPr="007524F0" w:rsidRDefault="002E2ED8" w:rsidP="00AF7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  <w:r w:rsidR="007524F0">
              <w:rPr>
                <w:lang w:val="ru-RU" w:eastAsia="en-US"/>
              </w:rPr>
              <w:t>141,5</w:t>
            </w:r>
          </w:p>
        </w:tc>
      </w:tr>
    </w:tbl>
    <w:p w:rsidR="00C77B6E" w:rsidRDefault="00C77B6E" w:rsidP="00C77B6E">
      <w:pPr>
        <w:ind w:firstLine="708"/>
        <w:jc w:val="both"/>
      </w:pPr>
    </w:p>
    <w:p w:rsidR="00A36834" w:rsidRDefault="00A36834" w:rsidP="00A36834">
      <w:pPr>
        <w:spacing w:line="276" w:lineRule="auto"/>
        <w:ind w:firstLine="708"/>
        <w:jc w:val="center"/>
        <w:rPr>
          <w:b/>
          <w:u w:val="single"/>
        </w:rPr>
      </w:pPr>
      <w:r>
        <w:rPr>
          <w:b/>
          <w:u w:val="single"/>
        </w:rPr>
        <w:lastRenderedPageBreak/>
        <w:t>Сравнительный анализ ПРИТОКА и Оттока ПИИ по видам экономи</w:t>
      </w:r>
      <w:r w:rsidR="007414A0">
        <w:rPr>
          <w:b/>
          <w:u w:val="single"/>
        </w:rPr>
        <w:t xml:space="preserve">ческой деятельности за </w:t>
      </w:r>
      <w:proofErr w:type="spellStart"/>
      <w:r w:rsidR="007414A0">
        <w:rPr>
          <w:b/>
          <w:u w:val="single"/>
        </w:rPr>
        <w:t>янв</w:t>
      </w:r>
      <w:proofErr w:type="spellEnd"/>
      <w:r w:rsidR="007414A0">
        <w:rPr>
          <w:b/>
          <w:u w:val="single"/>
        </w:rPr>
        <w:t xml:space="preserve">-сентябрь </w:t>
      </w:r>
      <w:r>
        <w:rPr>
          <w:b/>
          <w:u w:val="single"/>
        </w:rPr>
        <w:t>2020 год (в млн. долл. США).</w:t>
      </w:r>
    </w:p>
    <w:p w:rsidR="00A36834" w:rsidRDefault="00A36834" w:rsidP="00A36834">
      <w:pPr>
        <w:pStyle w:val="a3"/>
        <w:spacing w:before="0" w:beforeAutospacing="0" w:after="0" w:afterAutospacing="0"/>
        <w:ind w:firstLine="851"/>
        <w:jc w:val="both"/>
      </w:pPr>
      <w:r>
        <w:t>Анализ поступления ПИИ по видам экономической деятельности эконо</w:t>
      </w:r>
      <w:r w:rsidR="007414A0">
        <w:t xml:space="preserve">мики показывает, что за </w:t>
      </w:r>
      <w:proofErr w:type="spellStart"/>
      <w:r w:rsidR="007414A0">
        <w:t>янв</w:t>
      </w:r>
      <w:proofErr w:type="spellEnd"/>
      <w:r w:rsidR="007414A0">
        <w:t>-сентябрь</w:t>
      </w:r>
      <w:r>
        <w:t xml:space="preserve"> 2020 г., доля обрабатывающе</w:t>
      </w:r>
      <w:r w:rsidR="00C61EB6">
        <w:t>го</w:t>
      </w:r>
      <w:r>
        <w:t xml:space="preserve"> производству составила в среднем </w:t>
      </w:r>
      <w:r w:rsidR="00DD3D02">
        <w:rPr>
          <w:b/>
        </w:rPr>
        <w:t>43,7</w:t>
      </w:r>
      <w:r>
        <w:rPr>
          <w:b/>
        </w:rPr>
        <w:t>%,</w:t>
      </w:r>
      <w:r>
        <w:t xml:space="preserve"> что объясняется большой долей вложения в производств</w:t>
      </w:r>
      <w:r w:rsidR="00C61EB6">
        <w:t>о</w:t>
      </w:r>
      <w:r>
        <w:t>.</w:t>
      </w:r>
    </w:p>
    <w:p w:rsidR="00A36834" w:rsidRDefault="00A36834" w:rsidP="00A36834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27"/>
        <w:gridCol w:w="1154"/>
        <w:gridCol w:w="1277"/>
        <w:gridCol w:w="947"/>
        <w:gridCol w:w="1154"/>
        <w:gridCol w:w="1277"/>
        <w:gridCol w:w="935"/>
      </w:tblGrid>
      <w:tr w:rsidR="00A36834" w:rsidTr="00E00E11">
        <w:trPr>
          <w:trHeight w:val="315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834" w:rsidRPr="00BF4EA3" w:rsidRDefault="00A36834" w:rsidP="008413F0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</w:rPr>
              <w:t>П</w:t>
            </w:r>
            <w:r w:rsidRPr="00BF4EA3">
              <w:rPr>
                <w:b/>
              </w:rPr>
              <w:t>о видам экономической деятельности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834" w:rsidRDefault="00A36834" w:rsidP="008413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Приток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834" w:rsidRDefault="00A36834" w:rsidP="008413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Отток</w:t>
            </w:r>
          </w:p>
        </w:tc>
      </w:tr>
      <w:tr w:rsidR="00A36834" w:rsidTr="00E00E1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34" w:rsidRDefault="00A36834" w:rsidP="008413F0">
            <w:pPr>
              <w:rPr>
                <w:b/>
                <w:i/>
                <w:iCs/>
                <w:lang w:eastAsia="en-US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34" w:rsidRDefault="00A36834" w:rsidP="008413F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млн. долларов США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834" w:rsidRDefault="00A36834" w:rsidP="008413F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процентах к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34" w:rsidRDefault="00A36834" w:rsidP="008413F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млн. долларов США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834" w:rsidRDefault="00A36834" w:rsidP="008413F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процентах к</w:t>
            </w:r>
          </w:p>
        </w:tc>
      </w:tr>
      <w:tr w:rsidR="00A36834" w:rsidTr="00E00E1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34" w:rsidRDefault="00A36834" w:rsidP="008413F0">
            <w:pPr>
              <w:rPr>
                <w:b/>
                <w:i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34" w:rsidRDefault="00A36834" w:rsidP="008413F0">
            <w:pPr>
              <w:rPr>
                <w:bCs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34" w:rsidRDefault="00A36834" w:rsidP="008413F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прошлому году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34" w:rsidRDefault="00A36834" w:rsidP="008413F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34" w:rsidRDefault="00A36834" w:rsidP="008413F0">
            <w:pPr>
              <w:rPr>
                <w:bCs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34" w:rsidRDefault="00A36834" w:rsidP="008413F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прошлому году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34" w:rsidRDefault="00A36834" w:rsidP="008413F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итогу</w:t>
            </w:r>
          </w:p>
        </w:tc>
      </w:tr>
      <w:tr w:rsidR="00A36834" w:rsidTr="00E00E11">
        <w:trPr>
          <w:trHeight w:val="28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834" w:rsidRDefault="00A36834" w:rsidP="008413F0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834" w:rsidRDefault="00DD3D02" w:rsidP="008413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398,35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834" w:rsidRDefault="00DD3D02" w:rsidP="008413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-30.9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834" w:rsidRDefault="00A36834" w:rsidP="008413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834" w:rsidRDefault="00DD3D02" w:rsidP="008413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719,08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834" w:rsidRDefault="00DD3D02" w:rsidP="008413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834" w:rsidRDefault="00A36834" w:rsidP="008413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</w:tr>
      <w:tr w:rsidR="00A36834" w:rsidTr="00E00E11">
        <w:trPr>
          <w:trHeight w:val="2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Default="00A36834" w:rsidP="008413F0">
            <w:pPr>
              <w:jc w:val="both"/>
              <w:rPr>
                <w:b/>
                <w:lang w:eastAsia="en-US"/>
              </w:rPr>
            </w:pPr>
            <w:r>
              <w:t>Профессиональную, научную и техническую деятельность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DD3D02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55,89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DD3D02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-71.5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DD3D02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DD3D02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391,61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DD3D02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+36,9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Default="00DD3D02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54,5</w:t>
            </w:r>
          </w:p>
          <w:p w:rsidR="00DD3D02" w:rsidRPr="004A5FAE" w:rsidRDefault="00DD3D02" w:rsidP="008413F0">
            <w:pPr>
              <w:jc w:val="center"/>
              <w:rPr>
                <w:lang w:eastAsia="en-US"/>
              </w:rPr>
            </w:pPr>
          </w:p>
        </w:tc>
      </w:tr>
      <w:tr w:rsidR="00A36834" w:rsidTr="00E00E11">
        <w:trPr>
          <w:trHeight w:val="2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Default="00A36834" w:rsidP="008413F0">
            <w:pPr>
              <w:jc w:val="both"/>
              <w:rPr>
                <w:b/>
                <w:lang w:eastAsia="en-US"/>
              </w:rPr>
            </w:pPr>
            <w:r>
              <w:t>Обрабатывающие производства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A36834" w:rsidP="008413F0">
            <w:pPr>
              <w:jc w:val="center"/>
              <w:rPr>
                <w:lang w:eastAsia="en-US"/>
              </w:rPr>
            </w:pPr>
            <w:r w:rsidRPr="004A5FAE">
              <w:t>48,69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A36834" w:rsidP="008413F0">
            <w:pPr>
              <w:jc w:val="center"/>
              <w:rPr>
                <w:lang w:eastAsia="en-US"/>
              </w:rPr>
            </w:pPr>
            <w:r w:rsidRPr="004A5FAE">
              <w:rPr>
                <w:lang w:eastAsia="en-US"/>
              </w:rPr>
              <w:t>-54,4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A36834" w:rsidP="008413F0">
            <w:pPr>
              <w:jc w:val="center"/>
              <w:rPr>
                <w:lang w:eastAsia="en-US"/>
              </w:rPr>
            </w:pPr>
            <w:r w:rsidRPr="004A5FAE">
              <w:t>29,6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A36834" w:rsidP="008413F0">
            <w:pPr>
              <w:jc w:val="center"/>
              <w:rPr>
                <w:lang w:eastAsia="en-US"/>
              </w:rPr>
            </w:pPr>
            <w:r w:rsidRPr="004A5FAE">
              <w:rPr>
                <w:lang w:eastAsia="en-US"/>
              </w:rPr>
              <w:t>142,05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A36834" w:rsidP="008413F0">
            <w:pPr>
              <w:jc w:val="center"/>
              <w:rPr>
                <w:lang w:eastAsia="en-US"/>
              </w:rPr>
            </w:pPr>
            <w:r w:rsidRPr="004A5FAE">
              <w:rPr>
                <w:lang w:eastAsia="en-US"/>
              </w:rPr>
              <w:t>108,9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A36834" w:rsidP="008413F0">
            <w:pPr>
              <w:jc w:val="center"/>
              <w:rPr>
                <w:lang w:eastAsia="en-US"/>
              </w:rPr>
            </w:pPr>
            <w:r w:rsidRPr="004A5FAE">
              <w:rPr>
                <w:lang w:eastAsia="en-US"/>
              </w:rPr>
              <w:t>23,5</w:t>
            </w:r>
          </w:p>
        </w:tc>
      </w:tr>
      <w:tr w:rsidR="00A36834" w:rsidTr="00E00E11">
        <w:trPr>
          <w:trHeight w:val="2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Default="00A36834" w:rsidP="008413F0">
            <w:pPr>
              <w:jc w:val="both"/>
              <w:rPr>
                <w:b/>
                <w:lang w:eastAsia="en-US"/>
              </w:rPr>
            </w:pPr>
            <w:r>
              <w:t>Информация и связь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E00E11" w:rsidP="008413F0">
            <w:pPr>
              <w:jc w:val="center"/>
              <w:rPr>
                <w:lang w:eastAsia="en-US"/>
              </w:rPr>
            </w:pPr>
            <w:r>
              <w:t>26.95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E00E11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-21,3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E00E11" w:rsidP="00E00E11">
            <w:pPr>
              <w:rPr>
                <w:lang w:eastAsia="en-US"/>
              </w:rPr>
            </w:pPr>
            <w:r>
              <w:t xml:space="preserve">    6,8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E00E11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E00E11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+152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E00E11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</w:tc>
      </w:tr>
      <w:tr w:rsidR="00A36834" w:rsidTr="00E00E11">
        <w:trPr>
          <w:trHeight w:val="2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Default="00A36834" w:rsidP="008413F0">
            <w:pPr>
              <w:jc w:val="both"/>
              <w:rPr>
                <w:b/>
                <w:lang w:eastAsia="en-US"/>
              </w:rPr>
            </w:pPr>
            <w:r>
              <w:t>Добыча полезных ископаемых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E00E11" w:rsidP="008413F0">
            <w:pPr>
              <w:jc w:val="center"/>
              <w:rPr>
                <w:lang w:eastAsia="en-US"/>
              </w:rPr>
            </w:pPr>
            <w:r>
              <w:t>65,52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E00E11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-4,5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E00E11" w:rsidP="008413F0">
            <w:pPr>
              <w:jc w:val="center"/>
              <w:rPr>
                <w:lang w:eastAsia="en-US"/>
              </w:rPr>
            </w:pPr>
            <w:r>
              <w:t>16.5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E00E11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68.69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E00E11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+238,0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E00E11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</w:tr>
      <w:tr w:rsidR="00A36834" w:rsidTr="00E00E11">
        <w:trPr>
          <w:trHeight w:val="2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34" w:rsidRDefault="00A36834" w:rsidP="008413F0">
            <w:pPr>
              <w:jc w:val="both"/>
              <w:rPr>
                <w:lang w:eastAsia="en-US"/>
              </w:rPr>
            </w:pPr>
            <w:r>
              <w:t>Финансовое посредничество и страхование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E00E11" w:rsidP="008413F0">
            <w:pPr>
              <w:jc w:val="center"/>
              <w:rPr>
                <w:lang w:eastAsia="en-US"/>
              </w:rPr>
            </w:pPr>
            <w:r>
              <w:t>35,86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E00E11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-8.9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E00E11" w:rsidP="008413F0">
            <w:pPr>
              <w:jc w:val="center"/>
              <w:rPr>
                <w:lang w:eastAsia="en-US"/>
              </w:rPr>
            </w:pPr>
            <w:r>
              <w:t>9,0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5A7398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5A7398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-65,6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5A7398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A36834" w:rsidTr="00E00E11">
        <w:trPr>
          <w:trHeight w:val="2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34" w:rsidRDefault="00A36834" w:rsidP="008413F0">
            <w:pPr>
              <w:jc w:val="both"/>
            </w:pPr>
            <w:r>
              <w:t>Строительство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5A7398" w:rsidP="008413F0">
            <w:pPr>
              <w:jc w:val="center"/>
              <w:rPr>
                <w:lang w:eastAsia="en-US"/>
              </w:rPr>
            </w:pPr>
            <w:r>
              <w:t>10,75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5A7398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+29,2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0A4555" w:rsidP="008413F0">
            <w:pPr>
              <w:jc w:val="center"/>
              <w:rPr>
                <w:lang w:eastAsia="en-US"/>
              </w:rPr>
            </w:pPr>
            <w:r>
              <w:t>2,7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0A4555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0A4555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+152,0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0A4555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</w:tc>
      </w:tr>
      <w:tr w:rsidR="00A36834" w:rsidTr="00E00E11">
        <w:trPr>
          <w:trHeight w:val="2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34" w:rsidRDefault="00A36834" w:rsidP="008413F0">
            <w:pPr>
              <w:jc w:val="both"/>
            </w:pPr>
            <w:r>
              <w:t>Оптовая и розничная торговля; ремонт (автомобилей и мотоциклов)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0A4555" w:rsidP="000A4555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t>25,09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A36834" w:rsidP="008413F0">
            <w:pPr>
              <w:jc w:val="center"/>
              <w:rPr>
                <w:lang w:eastAsia="en-US"/>
              </w:rPr>
            </w:pPr>
            <w:r w:rsidRPr="004A5FAE">
              <w:rPr>
                <w:lang w:eastAsia="en-US"/>
              </w:rPr>
              <w:t>-</w:t>
            </w:r>
            <w:r w:rsidR="000A4555">
              <w:rPr>
                <w:lang w:eastAsia="en-US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0A4555" w:rsidP="008413F0">
            <w:pPr>
              <w:jc w:val="center"/>
              <w:rPr>
                <w:lang w:eastAsia="en-US"/>
              </w:rPr>
            </w:pPr>
            <w:r>
              <w:t>6,3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0A4555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20,99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0A4555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+61,3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0A4555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</w:tr>
    </w:tbl>
    <w:p w:rsidR="00C77B6E" w:rsidRDefault="00C77B6E" w:rsidP="00C77B6E">
      <w:pPr>
        <w:spacing w:line="276" w:lineRule="auto"/>
        <w:ind w:firstLine="708"/>
        <w:jc w:val="both"/>
      </w:pPr>
    </w:p>
    <w:p w:rsidR="00A36834" w:rsidRDefault="00A36834" w:rsidP="00C77B6E">
      <w:pPr>
        <w:spacing w:line="276" w:lineRule="auto"/>
        <w:ind w:firstLine="708"/>
        <w:jc w:val="both"/>
      </w:pPr>
      <w:r>
        <w:t xml:space="preserve">В данной таблице можно проследить </w:t>
      </w:r>
      <w:r w:rsidRPr="00A36834">
        <w:t>наибольш</w:t>
      </w:r>
      <w:r>
        <w:t>ий отток</w:t>
      </w:r>
      <w:r w:rsidRPr="00A36834">
        <w:t xml:space="preserve"> в сфере профессиональной, научной и технической деятельности – около 3</w:t>
      </w:r>
      <w:r w:rsidR="000A4555">
        <w:t>91,61</w:t>
      </w:r>
      <w:r w:rsidRPr="00A36834">
        <w:t xml:space="preserve"> </w:t>
      </w:r>
      <w:proofErr w:type="spellStart"/>
      <w:r w:rsidRPr="00A36834">
        <w:t>млн.долларов</w:t>
      </w:r>
      <w:proofErr w:type="spellEnd"/>
      <w:r w:rsidRPr="00A36834">
        <w:t xml:space="preserve"> </w:t>
      </w:r>
      <w:r w:rsidR="000A4555">
        <w:t>за 9 месяцев</w:t>
      </w:r>
      <w:r>
        <w:t xml:space="preserve"> 2020 года, </w:t>
      </w:r>
      <w:r w:rsidRPr="00A36834">
        <w:t>(по итогам 2019 года</w:t>
      </w:r>
      <w:r>
        <w:t xml:space="preserve"> данная цифра также составляет около 300 </w:t>
      </w:r>
      <w:proofErr w:type="spellStart"/>
      <w:r>
        <w:t>млн.долл</w:t>
      </w:r>
      <w:proofErr w:type="gramStart"/>
      <w:r>
        <w:t>.С</w:t>
      </w:r>
      <w:proofErr w:type="gramEnd"/>
      <w:r>
        <w:t>ША</w:t>
      </w:r>
      <w:proofErr w:type="spellEnd"/>
      <w:r w:rsidRPr="00A36834">
        <w:t xml:space="preserve">). Это означает, что геологические исследовательские работы, услуги по разработке ТЭО осуществляют зарубежные специалисты. То есть из всех поступивших ПИИ в размере 1 </w:t>
      </w:r>
      <w:proofErr w:type="spellStart"/>
      <w:r w:rsidRPr="00A36834">
        <w:t>млрд.долл</w:t>
      </w:r>
      <w:proofErr w:type="gramStart"/>
      <w:r w:rsidRPr="00A36834">
        <w:t>.С</w:t>
      </w:r>
      <w:proofErr w:type="gramEnd"/>
      <w:r w:rsidRPr="00A36834">
        <w:t>ША</w:t>
      </w:r>
      <w:proofErr w:type="spellEnd"/>
      <w:r w:rsidRPr="00A36834">
        <w:t>, поступившего в 20</w:t>
      </w:r>
      <w:r>
        <w:t>19</w:t>
      </w:r>
      <w:r w:rsidRPr="00A36834">
        <w:t xml:space="preserve"> году, более 324 </w:t>
      </w:r>
      <w:proofErr w:type="spellStart"/>
      <w:r w:rsidRPr="00A36834">
        <w:t>млн.долл.США</w:t>
      </w:r>
      <w:proofErr w:type="spellEnd"/>
      <w:r w:rsidRPr="00A36834">
        <w:t xml:space="preserve"> вывозятся зарубежными специалистами, оказавшими консультационные услуги.</w:t>
      </w:r>
    </w:p>
    <w:p w:rsidR="00A36834" w:rsidRDefault="00A36834" w:rsidP="00C77B6E">
      <w:pPr>
        <w:spacing w:line="276" w:lineRule="auto"/>
        <w:ind w:firstLine="708"/>
        <w:jc w:val="both"/>
      </w:pPr>
    </w:p>
    <w:p w:rsidR="00C77B6E" w:rsidRDefault="00C77B6E" w:rsidP="00C77B6E">
      <w:pPr>
        <w:tabs>
          <w:tab w:val="left" w:pos="709"/>
        </w:tabs>
        <w:jc w:val="center"/>
        <w:rPr>
          <w:b/>
          <w:color w:val="1C1E21"/>
          <w:u w:val="single"/>
          <w:shd w:val="clear" w:color="auto" w:fill="FFFFFF"/>
        </w:rPr>
      </w:pPr>
      <w:r>
        <w:rPr>
          <w:b/>
          <w:color w:val="1C1E21"/>
          <w:u w:val="single"/>
          <w:shd w:val="clear" w:color="auto" w:fill="FFFFFF"/>
        </w:rPr>
        <w:t xml:space="preserve">Отток ПИИ за </w:t>
      </w:r>
      <w:proofErr w:type="spellStart"/>
      <w:r>
        <w:rPr>
          <w:b/>
          <w:color w:val="1C1E21"/>
          <w:u w:val="single"/>
          <w:shd w:val="clear" w:color="auto" w:fill="FFFFFF"/>
        </w:rPr>
        <w:t>янв</w:t>
      </w:r>
      <w:proofErr w:type="spellEnd"/>
      <w:r>
        <w:rPr>
          <w:b/>
          <w:color w:val="1C1E21"/>
          <w:u w:val="single"/>
          <w:shd w:val="clear" w:color="auto" w:fill="FFFFFF"/>
        </w:rPr>
        <w:t>-</w:t>
      </w:r>
      <w:r w:rsidR="004B1B3E">
        <w:rPr>
          <w:b/>
          <w:color w:val="1C1E21"/>
          <w:u w:val="single"/>
          <w:shd w:val="clear" w:color="auto" w:fill="FFFFFF"/>
        </w:rPr>
        <w:t xml:space="preserve">сентябрь </w:t>
      </w:r>
      <w:r>
        <w:rPr>
          <w:b/>
          <w:color w:val="1C1E21"/>
          <w:u w:val="single"/>
          <w:shd w:val="clear" w:color="auto" w:fill="FFFFFF"/>
        </w:rPr>
        <w:t>2020 году в с</w:t>
      </w:r>
      <w:r w:rsidR="004B1B3E">
        <w:rPr>
          <w:b/>
          <w:color w:val="1C1E21"/>
          <w:u w:val="single"/>
          <w:shd w:val="clear" w:color="auto" w:fill="FFFFFF"/>
        </w:rPr>
        <w:t xml:space="preserve">равнении с 2019 годом </w:t>
      </w:r>
      <w:r w:rsidR="00BF502A">
        <w:rPr>
          <w:b/>
          <w:color w:val="1C1E21"/>
          <w:u w:val="single"/>
          <w:shd w:val="clear" w:color="auto" w:fill="FFFFFF"/>
        </w:rPr>
        <w:t>снизился</w:t>
      </w:r>
      <w:r>
        <w:rPr>
          <w:b/>
          <w:color w:val="1C1E21"/>
          <w:u w:val="single"/>
          <w:shd w:val="clear" w:color="auto" w:fill="FFFFFF"/>
        </w:rPr>
        <w:t xml:space="preserve"> на </w:t>
      </w:r>
      <w:r w:rsidR="00BF502A">
        <w:rPr>
          <w:b/>
          <w:color w:val="1C1E21"/>
          <w:u w:val="single"/>
          <w:shd w:val="clear" w:color="auto" w:fill="FFFFFF"/>
        </w:rPr>
        <w:t>30,9</w:t>
      </w:r>
      <w:r>
        <w:rPr>
          <w:b/>
          <w:color w:val="1C1E21"/>
          <w:u w:val="single"/>
          <w:shd w:val="clear" w:color="auto" w:fill="FFFFFF"/>
        </w:rPr>
        <w:t xml:space="preserve"> % и</w:t>
      </w:r>
    </w:p>
    <w:p w:rsidR="00C77B6E" w:rsidRDefault="00C77B6E" w:rsidP="00C77B6E">
      <w:pPr>
        <w:tabs>
          <w:tab w:val="left" w:pos="709"/>
        </w:tabs>
        <w:jc w:val="center"/>
        <w:rPr>
          <w:b/>
          <w:color w:val="1C1E21"/>
          <w:u w:val="single"/>
          <w:shd w:val="clear" w:color="auto" w:fill="FFFFFF"/>
        </w:rPr>
      </w:pPr>
      <w:r>
        <w:rPr>
          <w:b/>
          <w:color w:val="1C1E21"/>
          <w:u w:val="single"/>
          <w:shd w:val="clear" w:color="auto" w:fill="FFFFFF"/>
        </w:rPr>
        <w:t xml:space="preserve">составил </w:t>
      </w:r>
      <w:r w:rsidR="00BF502A">
        <w:rPr>
          <w:b/>
          <w:color w:val="1C1E21"/>
          <w:u w:val="single"/>
          <w:shd w:val="clear" w:color="auto" w:fill="FFFFFF"/>
        </w:rPr>
        <w:t>719,08</w:t>
      </w:r>
      <w:r>
        <w:rPr>
          <w:b/>
          <w:color w:val="1C1E21"/>
          <w:u w:val="single"/>
          <w:shd w:val="clear" w:color="auto" w:fill="FFFFFF"/>
        </w:rPr>
        <w:t xml:space="preserve"> млн. долл. США</w:t>
      </w:r>
    </w:p>
    <w:p w:rsidR="002D3B23" w:rsidRDefault="002D3B23" w:rsidP="00C77B6E">
      <w:pPr>
        <w:tabs>
          <w:tab w:val="left" w:pos="709"/>
        </w:tabs>
        <w:jc w:val="center"/>
        <w:rPr>
          <w:b/>
          <w:color w:val="1C1E21"/>
          <w:u w:val="single"/>
          <w:shd w:val="clear" w:color="auto" w:fill="FFFFFF"/>
        </w:rPr>
      </w:pPr>
    </w:p>
    <w:p w:rsidR="00C77B6E" w:rsidRDefault="002D3B23" w:rsidP="002D3B23">
      <w:pPr>
        <w:pStyle w:val="a4"/>
        <w:tabs>
          <w:tab w:val="left" w:pos="6430"/>
        </w:tabs>
        <w:ind w:left="0"/>
        <w:rPr>
          <w:b/>
        </w:rPr>
      </w:pPr>
      <w:r>
        <w:rPr>
          <w:b/>
        </w:rPr>
        <w:t xml:space="preserve">   </w:t>
      </w:r>
      <w:r w:rsidR="00C77B6E">
        <w:rPr>
          <w:b/>
        </w:rPr>
        <w:t>Наибольший объем оттока ПИИ направлены:</w:t>
      </w:r>
    </w:p>
    <w:p w:rsidR="00C77B6E" w:rsidRDefault="00C77B6E" w:rsidP="002D3B23">
      <w:pPr>
        <w:pStyle w:val="a4"/>
        <w:numPr>
          <w:ilvl w:val="0"/>
          <w:numId w:val="4"/>
        </w:numPr>
        <w:tabs>
          <w:tab w:val="left" w:pos="6430"/>
        </w:tabs>
        <w:ind w:left="0"/>
      </w:pPr>
      <w:r>
        <w:t xml:space="preserve">в страну вне СНГ </w:t>
      </w:r>
      <w:r w:rsidR="00BF502A">
        <w:rPr>
          <w:b/>
        </w:rPr>
        <w:t xml:space="preserve">646,48 </w:t>
      </w:r>
      <w:r>
        <w:rPr>
          <w:b/>
        </w:rPr>
        <w:t>млн. долл. США</w:t>
      </w:r>
      <w:r>
        <w:t>, по сравнению с 2019 годом</w:t>
      </w:r>
      <w:r w:rsidR="00F70906">
        <w:t xml:space="preserve"> увеличился</w:t>
      </w:r>
      <w:r w:rsidR="00BF502A">
        <w:t xml:space="preserve"> на 44,3% (доля от всего ОТТОКА – 89,9</w:t>
      </w:r>
      <w:r>
        <w:t>%);</w:t>
      </w:r>
    </w:p>
    <w:p w:rsidR="00F70906" w:rsidRDefault="00F70906" w:rsidP="002D3B23">
      <w:pPr>
        <w:tabs>
          <w:tab w:val="left" w:pos="6430"/>
        </w:tabs>
      </w:pPr>
    </w:p>
    <w:p w:rsidR="00C77B6E" w:rsidRDefault="00C77B6E" w:rsidP="002D3B23">
      <w:pPr>
        <w:pStyle w:val="a4"/>
        <w:numPr>
          <w:ilvl w:val="0"/>
          <w:numId w:val="4"/>
        </w:numPr>
        <w:tabs>
          <w:tab w:val="left" w:pos="6430"/>
        </w:tabs>
        <w:ind w:left="0"/>
      </w:pPr>
      <w:r>
        <w:t xml:space="preserve">в страну СНГ </w:t>
      </w:r>
      <w:r w:rsidR="00BF502A">
        <w:rPr>
          <w:b/>
        </w:rPr>
        <w:t xml:space="preserve">72,60 </w:t>
      </w:r>
      <w:r w:rsidR="00F70906">
        <w:rPr>
          <w:b/>
        </w:rPr>
        <w:t xml:space="preserve"> </w:t>
      </w:r>
      <w:r>
        <w:rPr>
          <w:b/>
        </w:rPr>
        <w:t>млн. долл. США</w:t>
      </w:r>
      <w:r>
        <w:t xml:space="preserve">, по сравнению с 2019 годом </w:t>
      </w:r>
      <w:r w:rsidR="00BF502A">
        <w:t xml:space="preserve">увеличился </w:t>
      </w:r>
      <w:r>
        <w:t xml:space="preserve"> на </w:t>
      </w:r>
      <w:r w:rsidR="00BF502A">
        <w:rPr>
          <w:b/>
        </w:rPr>
        <w:t>11,1</w:t>
      </w:r>
      <w:r w:rsidR="00F70906" w:rsidRPr="00F70906">
        <w:rPr>
          <w:b/>
        </w:rPr>
        <w:t xml:space="preserve"> </w:t>
      </w:r>
      <w:r w:rsidRPr="00F70906">
        <w:rPr>
          <w:b/>
        </w:rPr>
        <w:t>%</w:t>
      </w:r>
      <w:r>
        <w:t xml:space="preserve">  (доля от всего ОТТОКА – </w:t>
      </w:r>
      <w:r w:rsidR="00BF502A">
        <w:t>10,1</w:t>
      </w:r>
      <w:r>
        <w:t>%).</w:t>
      </w:r>
    </w:p>
    <w:p w:rsidR="00F70906" w:rsidRDefault="00F70906" w:rsidP="00F70906">
      <w:pPr>
        <w:tabs>
          <w:tab w:val="left" w:pos="6430"/>
        </w:tabs>
        <w:jc w:val="both"/>
      </w:pPr>
    </w:p>
    <w:p w:rsidR="00C77B6E" w:rsidRDefault="00C77B6E" w:rsidP="00C77B6E">
      <w:pPr>
        <w:tabs>
          <w:tab w:val="left" w:pos="709"/>
        </w:tabs>
        <w:jc w:val="both"/>
        <w:rPr>
          <w:b/>
        </w:rPr>
      </w:pPr>
      <w:r>
        <w:rPr>
          <w:b/>
        </w:rPr>
        <w:tab/>
        <w:t>Наибольший объем оттока ПИИ направлены в следующие страны:</w:t>
      </w:r>
    </w:p>
    <w:p w:rsidR="008B7FDE" w:rsidRDefault="008B7FDE" w:rsidP="00C77B6E">
      <w:pPr>
        <w:tabs>
          <w:tab w:val="left" w:pos="709"/>
        </w:tabs>
        <w:jc w:val="both"/>
        <w:rPr>
          <w:b/>
        </w:rPr>
      </w:pPr>
    </w:p>
    <w:p w:rsidR="00C77B6E" w:rsidRDefault="00C77B6E" w:rsidP="00C77B6E">
      <w:pPr>
        <w:tabs>
          <w:tab w:val="left" w:pos="6430"/>
        </w:tabs>
        <w:ind w:firstLine="709"/>
        <w:jc w:val="both"/>
      </w:pPr>
      <w:r>
        <w:t xml:space="preserve">1) </w:t>
      </w:r>
      <w:r>
        <w:rPr>
          <w:b/>
        </w:rPr>
        <w:t>Китай</w:t>
      </w:r>
      <w:r>
        <w:t xml:space="preserve"> – </w:t>
      </w:r>
      <w:r>
        <w:rPr>
          <w:sz w:val="20"/>
          <w:szCs w:val="20"/>
        </w:rPr>
        <w:t xml:space="preserve"> </w:t>
      </w:r>
      <w:r w:rsidR="00BF502A">
        <w:t>439,50</w:t>
      </w:r>
      <w:r>
        <w:t xml:space="preserve"> млн. долл. США (доля от всего ОТТОКА – </w:t>
      </w:r>
      <w:r w:rsidR="00BF502A">
        <w:t>61,1</w:t>
      </w:r>
      <w:r>
        <w:t xml:space="preserve">%). Отток по сравнению с 2019 годом  увеличился  на </w:t>
      </w:r>
      <w:r w:rsidR="00BF502A">
        <w:t>19,1</w:t>
      </w:r>
      <w:r>
        <w:t>%;</w:t>
      </w:r>
    </w:p>
    <w:p w:rsidR="00C77B6E" w:rsidRDefault="00C77B6E" w:rsidP="00C77B6E">
      <w:pPr>
        <w:tabs>
          <w:tab w:val="left" w:pos="6430"/>
        </w:tabs>
        <w:ind w:firstLine="709"/>
        <w:jc w:val="both"/>
      </w:pPr>
      <w:r>
        <w:lastRenderedPageBreak/>
        <w:t>2)</w:t>
      </w:r>
      <w:r>
        <w:rPr>
          <w:b/>
        </w:rPr>
        <w:t xml:space="preserve"> Турция</w:t>
      </w:r>
      <w:r>
        <w:t xml:space="preserve"> – </w:t>
      </w:r>
      <w:r w:rsidR="00BF502A">
        <w:t>34,78</w:t>
      </w:r>
      <w:r>
        <w:t xml:space="preserve"> млн. долл. США (доля от всего ОТТОКА – </w:t>
      </w:r>
      <w:r w:rsidR="00BF502A">
        <w:t>4,9</w:t>
      </w:r>
      <w:r>
        <w:t xml:space="preserve">%). Отток по сравнению 2019 годом </w:t>
      </w:r>
      <w:r w:rsidR="00BF502A" w:rsidRPr="00BF502A">
        <w:t xml:space="preserve">увеличился </w:t>
      </w:r>
      <w:r>
        <w:t xml:space="preserve">на </w:t>
      </w:r>
      <w:r w:rsidR="00BF502A">
        <w:t>62,8%</w:t>
      </w:r>
      <w:r>
        <w:t>;</w:t>
      </w:r>
    </w:p>
    <w:p w:rsidR="00C77B6E" w:rsidRDefault="00C77B6E" w:rsidP="00C77B6E">
      <w:pPr>
        <w:tabs>
          <w:tab w:val="left" w:pos="6430"/>
        </w:tabs>
        <w:jc w:val="both"/>
      </w:pPr>
      <w:r>
        <w:t xml:space="preserve">            3) </w:t>
      </w:r>
      <w:r>
        <w:rPr>
          <w:b/>
        </w:rPr>
        <w:t>Казахстан</w:t>
      </w:r>
      <w:r w:rsidR="00BF502A">
        <w:t xml:space="preserve"> – 18,03</w:t>
      </w:r>
      <w:r>
        <w:t xml:space="preserve"> млн. долл. США (доля от всего ОТТОКА – </w:t>
      </w:r>
      <w:r w:rsidR="00BF502A">
        <w:t>2,5</w:t>
      </w:r>
      <w:r>
        <w:t xml:space="preserve">%). Отток по сравнению с 2019 годом увеличился на </w:t>
      </w:r>
      <w:r w:rsidR="00BF502A">
        <w:t>54,5</w:t>
      </w:r>
      <w:r>
        <w:t xml:space="preserve"> %;</w:t>
      </w:r>
    </w:p>
    <w:p w:rsidR="00C77B6E" w:rsidRDefault="00C77B6E" w:rsidP="00C77B6E">
      <w:pPr>
        <w:tabs>
          <w:tab w:val="left" w:pos="6430"/>
        </w:tabs>
        <w:ind w:firstLine="709"/>
        <w:jc w:val="both"/>
      </w:pPr>
      <w:r>
        <w:t xml:space="preserve">4) </w:t>
      </w:r>
      <w:r>
        <w:rPr>
          <w:b/>
        </w:rPr>
        <w:t>Великобритания</w:t>
      </w:r>
      <w:r>
        <w:t xml:space="preserve"> – </w:t>
      </w:r>
      <w:r w:rsidR="00BF502A">
        <w:t>90,92</w:t>
      </w:r>
      <w:r>
        <w:t xml:space="preserve"> млн. долл. США (доля от всего ОТТОКА – </w:t>
      </w:r>
      <w:r w:rsidR="00BF502A">
        <w:t>12,7</w:t>
      </w:r>
      <w:r>
        <w:t xml:space="preserve"> %). Отток по сравнению с 2019 годом увеличился  на </w:t>
      </w:r>
      <w:r w:rsidR="00BF502A">
        <w:t>200,2</w:t>
      </w:r>
      <w:r>
        <w:t xml:space="preserve"> %;</w:t>
      </w:r>
    </w:p>
    <w:p w:rsidR="00C77B6E" w:rsidRDefault="00C77B6E" w:rsidP="00C77B6E">
      <w:pPr>
        <w:tabs>
          <w:tab w:val="left" w:pos="6430"/>
        </w:tabs>
        <w:ind w:firstLine="709"/>
        <w:jc w:val="both"/>
      </w:pPr>
      <w:r>
        <w:t xml:space="preserve">5) </w:t>
      </w:r>
      <w:r>
        <w:rPr>
          <w:b/>
        </w:rPr>
        <w:t>Российская Федерация</w:t>
      </w:r>
      <w:r>
        <w:t xml:space="preserve"> – </w:t>
      </w:r>
      <w:r w:rsidR="001F6B93">
        <w:t>53,76</w:t>
      </w:r>
      <w:r>
        <w:t xml:space="preserve"> млн. долл. США (доля от всего ОТТОКА </w:t>
      </w:r>
      <w:r w:rsidR="00A26725">
        <w:t>–</w:t>
      </w:r>
      <w:r>
        <w:t xml:space="preserve"> </w:t>
      </w:r>
      <w:r w:rsidR="001F6B93">
        <w:t>7.5</w:t>
      </w:r>
      <w:r>
        <w:t>%). Отток по сра</w:t>
      </w:r>
      <w:r w:rsidR="008B7FDE">
        <w:t xml:space="preserve">внению с 2019 годом увеличился </w:t>
      </w:r>
      <w:r>
        <w:t xml:space="preserve">на </w:t>
      </w:r>
      <w:r w:rsidR="001F6B93">
        <w:t>118</w:t>
      </w:r>
      <w:r>
        <w:t>%.</w:t>
      </w:r>
    </w:p>
    <w:p w:rsidR="00C77B6E" w:rsidRDefault="00C77B6E" w:rsidP="00C77B6E"/>
    <w:p w:rsidR="007A5309" w:rsidRDefault="00800824"/>
    <w:sectPr w:rsidR="007A5309" w:rsidSect="002D3B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2A1"/>
    <w:multiLevelType w:val="hybridMultilevel"/>
    <w:tmpl w:val="2A5ED988"/>
    <w:lvl w:ilvl="0" w:tplc="8F681A8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AA16BC"/>
    <w:multiLevelType w:val="hybridMultilevel"/>
    <w:tmpl w:val="A0CADBD4"/>
    <w:lvl w:ilvl="0" w:tplc="8088503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11D50"/>
    <w:multiLevelType w:val="hybridMultilevel"/>
    <w:tmpl w:val="8ACC4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FF400C"/>
    <w:multiLevelType w:val="hybridMultilevel"/>
    <w:tmpl w:val="CFD22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D563D"/>
    <w:multiLevelType w:val="hybridMultilevel"/>
    <w:tmpl w:val="2E5498C8"/>
    <w:lvl w:ilvl="0" w:tplc="1DA6A958">
      <w:start w:val="1"/>
      <w:numFmt w:val="decimal"/>
      <w:lvlText w:val="%1)"/>
      <w:lvlJc w:val="left"/>
      <w:pPr>
        <w:ind w:left="1128" w:hanging="360"/>
      </w:p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>
      <w:start w:val="1"/>
      <w:numFmt w:val="lowerLetter"/>
      <w:lvlText w:val="%5."/>
      <w:lvlJc w:val="left"/>
      <w:pPr>
        <w:ind w:left="4008" w:hanging="360"/>
      </w:pPr>
    </w:lvl>
    <w:lvl w:ilvl="5" w:tplc="0419001B">
      <w:start w:val="1"/>
      <w:numFmt w:val="lowerRoman"/>
      <w:lvlText w:val="%6."/>
      <w:lvlJc w:val="right"/>
      <w:pPr>
        <w:ind w:left="4728" w:hanging="180"/>
      </w:pPr>
    </w:lvl>
    <w:lvl w:ilvl="6" w:tplc="0419000F">
      <w:start w:val="1"/>
      <w:numFmt w:val="decimal"/>
      <w:lvlText w:val="%7."/>
      <w:lvlJc w:val="left"/>
      <w:pPr>
        <w:ind w:left="5448" w:hanging="360"/>
      </w:pPr>
    </w:lvl>
    <w:lvl w:ilvl="7" w:tplc="04190019">
      <w:start w:val="1"/>
      <w:numFmt w:val="lowerLetter"/>
      <w:lvlText w:val="%8."/>
      <w:lvlJc w:val="left"/>
      <w:pPr>
        <w:ind w:left="6168" w:hanging="360"/>
      </w:pPr>
    </w:lvl>
    <w:lvl w:ilvl="8" w:tplc="0419001B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6E"/>
    <w:rsid w:val="00001200"/>
    <w:rsid w:val="00071BCB"/>
    <w:rsid w:val="000A4555"/>
    <w:rsid w:val="00115F71"/>
    <w:rsid w:val="00147DE0"/>
    <w:rsid w:val="0016398B"/>
    <w:rsid w:val="001D7F9D"/>
    <w:rsid w:val="001F2D3C"/>
    <w:rsid w:val="001F6B93"/>
    <w:rsid w:val="001F7BE6"/>
    <w:rsid w:val="002676AF"/>
    <w:rsid w:val="002A7D4A"/>
    <w:rsid w:val="002C2CF8"/>
    <w:rsid w:val="002D3B23"/>
    <w:rsid w:val="002E2ED8"/>
    <w:rsid w:val="002F69AA"/>
    <w:rsid w:val="00357031"/>
    <w:rsid w:val="003B7AAD"/>
    <w:rsid w:val="003C49CA"/>
    <w:rsid w:val="00416B77"/>
    <w:rsid w:val="00441123"/>
    <w:rsid w:val="00457FE6"/>
    <w:rsid w:val="0046369D"/>
    <w:rsid w:val="004B1B3E"/>
    <w:rsid w:val="0051231E"/>
    <w:rsid w:val="00587992"/>
    <w:rsid w:val="005A7398"/>
    <w:rsid w:val="005B1D30"/>
    <w:rsid w:val="005C0FBC"/>
    <w:rsid w:val="005D2263"/>
    <w:rsid w:val="005F4D36"/>
    <w:rsid w:val="00620A0F"/>
    <w:rsid w:val="00632CEF"/>
    <w:rsid w:val="00640FA6"/>
    <w:rsid w:val="006566ED"/>
    <w:rsid w:val="007414A0"/>
    <w:rsid w:val="007524F0"/>
    <w:rsid w:val="007E2AB2"/>
    <w:rsid w:val="00800824"/>
    <w:rsid w:val="00806764"/>
    <w:rsid w:val="0085427C"/>
    <w:rsid w:val="00875BD3"/>
    <w:rsid w:val="008B7FDE"/>
    <w:rsid w:val="009112AF"/>
    <w:rsid w:val="00947B40"/>
    <w:rsid w:val="009573D3"/>
    <w:rsid w:val="009655EB"/>
    <w:rsid w:val="009F2FD6"/>
    <w:rsid w:val="009F75B8"/>
    <w:rsid w:val="00A26725"/>
    <w:rsid w:val="00A36834"/>
    <w:rsid w:val="00A6228C"/>
    <w:rsid w:val="00A734BA"/>
    <w:rsid w:val="00A87703"/>
    <w:rsid w:val="00AE1B4A"/>
    <w:rsid w:val="00AF7BCB"/>
    <w:rsid w:val="00B24E9E"/>
    <w:rsid w:val="00BE60B6"/>
    <w:rsid w:val="00BF502A"/>
    <w:rsid w:val="00C2609A"/>
    <w:rsid w:val="00C61EB6"/>
    <w:rsid w:val="00C77B6E"/>
    <w:rsid w:val="00CC5E90"/>
    <w:rsid w:val="00CE628D"/>
    <w:rsid w:val="00D9245A"/>
    <w:rsid w:val="00DD3D02"/>
    <w:rsid w:val="00E00E11"/>
    <w:rsid w:val="00E14036"/>
    <w:rsid w:val="00E45D60"/>
    <w:rsid w:val="00E5066B"/>
    <w:rsid w:val="00F70906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570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B6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77B6E"/>
    <w:pPr>
      <w:ind w:left="720"/>
      <w:contextualSpacing/>
    </w:pPr>
  </w:style>
  <w:style w:type="table" w:styleId="a5">
    <w:name w:val="Table Grid"/>
    <w:basedOn w:val="a1"/>
    <w:uiPriority w:val="59"/>
    <w:rsid w:val="00C77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Grid 1 Accent 2"/>
    <w:basedOn w:val="a1"/>
    <w:uiPriority w:val="67"/>
    <w:rsid w:val="00C77B6E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C77B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B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70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3570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570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B6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77B6E"/>
    <w:pPr>
      <w:ind w:left="720"/>
      <w:contextualSpacing/>
    </w:pPr>
  </w:style>
  <w:style w:type="table" w:styleId="a5">
    <w:name w:val="Table Grid"/>
    <w:basedOn w:val="a1"/>
    <w:uiPriority w:val="59"/>
    <w:rsid w:val="00C77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Grid 1 Accent 2"/>
    <w:basedOn w:val="a1"/>
    <w:uiPriority w:val="67"/>
    <w:rsid w:val="00C77B6E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C77B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B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70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3570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5696947054506247E-2"/>
          <c:y val="3.3541039020044648E-2"/>
          <c:w val="0.90116824592841416"/>
          <c:h val="0.836398647435159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Приток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янв-сентябрь 2019</c:v>
                </c:pt>
                <c:pt idx="10">
                  <c:v>янв-сентябрь  2020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849</c:v>
                </c:pt>
                <c:pt idx="1">
                  <c:v>591</c:v>
                </c:pt>
                <c:pt idx="2">
                  <c:v>964</c:v>
                </c:pt>
                <c:pt idx="3">
                  <c:v>727</c:v>
                </c:pt>
                <c:pt idx="4">
                  <c:v>1573</c:v>
                </c:pt>
                <c:pt idx="5">
                  <c:v>814</c:v>
                </c:pt>
                <c:pt idx="6">
                  <c:v>616</c:v>
                </c:pt>
                <c:pt idx="7" formatCode="#,##0.00">
                  <c:v>851</c:v>
                </c:pt>
                <c:pt idx="8" formatCode="#,##0.00">
                  <c:v>1076.92</c:v>
                </c:pt>
                <c:pt idx="9">
                  <c:v>576.83000000000004</c:v>
                </c:pt>
                <c:pt idx="10">
                  <c:v>398.35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77-4F54-8169-BF9C6FA1E5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Сальдо </c:v>
                </c:pt>
              </c:strCache>
            </c:strRef>
          </c:tx>
          <c:invertIfNegative val="0"/>
          <c:dLbls>
            <c:dLbl>
              <c:idx val="9"/>
              <c:layout>
                <c:manualLayout>
                  <c:x val="0"/>
                  <c:y val="-8.0298781015502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76-44CE-8DC5-458836DDB4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янв-сентябрь 2019</c:v>
                </c:pt>
                <c:pt idx="10">
                  <c:v>янв-сентябрь  2020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693.5</c:v>
                </c:pt>
                <c:pt idx="1">
                  <c:v>292.7</c:v>
                </c:pt>
                <c:pt idx="2">
                  <c:v>626</c:v>
                </c:pt>
                <c:pt idx="3">
                  <c:v>274.89999999999998</c:v>
                </c:pt>
                <c:pt idx="4">
                  <c:v>1141</c:v>
                </c:pt>
                <c:pt idx="5">
                  <c:v>615.79999999999995</c:v>
                </c:pt>
                <c:pt idx="6">
                  <c:v>-107</c:v>
                </c:pt>
                <c:pt idx="7">
                  <c:v>144.19999999999999</c:v>
                </c:pt>
                <c:pt idx="8">
                  <c:v>403.87</c:v>
                </c:pt>
                <c:pt idx="9">
                  <c:v>63.34</c:v>
                </c:pt>
                <c:pt idx="10">
                  <c:v>-320.75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E77-4F54-8169-BF9C6FA1E5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1326848"/>
        <c:axId val="231328384"/>
      </c:barChart>
      <c:catAx>
        <c:axId val="231326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1328384"/>
        <c:crosses val="autoZero"/>
        <c:auto val="1"/>
        <c:lblAlgn val="ctr"/>
        <c:lblOffset val="100"/>
        <c:noMultiLvlLbl val="0"/>
      </c:catAx>
      <c:valAx>
        <c:axId val="231328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1326848"/>
        <c:crosses val="autoZero"/>
        <c:crossBetween val="between"/>
      </c:valAx>
      <c:spPr>
        <a:solidFill>
          <a:sysClr val="window" lastClr="FFFFFF"/>
        </a:solidFill>
      </c:spPr>
    </c:plotArea>
    <c:legend>
      <c:legendPos val="r"/>
      <c:layout>
        <c:manualLayout>
          <c:xMode val="edge"/>
          <c:yMode val="edge"/>
          <c:x val="0.12869252997070663"/>
          <c:y val="0.91665146240424122"/>
          <c:w val="0.85871084632119321"/>
          <c:h val="6.9984645082560928E-2"/>
        </c:manualLayout>
      </c:layout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9D4FB-4C48-401A-A280-859EC543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Акылбеков</dc:creator>
  <cp:lastModifiedBy>Gulmira Abdymamytova</cp:lastModifiedBy>
  <cp:revision>2</cp:revision>
  <cp:lastPrinted>2021-01-05T10:53:00Z</cp:lastPrinted>
  <dcterms:created xsi:type="dcterms:W3CDTF">2021-01-06T09:33:00Z</dcterms:created>
  <dcterms:modified xsi:type="dcterms:W3CDTF">2021-01-06T09:33:00Z</dcterms:modified>
</cp:coreProperties>
</file>