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9" w:rsidRPr="0035566D" w:rsidRDefault="007D7FB9" w:rsidP="007D7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66D">
        <w:rPr>
          <w:rFonts w:ascii="Times New Roman" w:hAnsi="Times New Roman" w:cs="Times New Roman"/>
          <w:b/>
          <w:sz w:val="24"/>
          <w:szCs w:val="24"/>
          <w:lang w:val="ru-RU"/>
        </w:rPr>
        <w:t>Поступления прямых иностранных инвестиций за 2016г.</w:t>
      </w:r>
    </w:p>
    <w:p w:rsidR="007D7FB9" w:rsidRPr="0035566D" w:rsidRDefault="007D7FB9" w:rsidP="007D7FB9">
      <w:pPr>
        <w:spacing w:after="0"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556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Общий обзор:</w:t>
      </w:r>
    </w:p>
    <w:p w:rsidR="007D7FB9" w:rsidRPr="0035566D" w:rsidRDefault="007D7FB9" w:rsidP="007D7FB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5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Приток ПИИ за 2016 г. составил </w:t>
      </w:r>
      <w:r w:rsidR="00EF30A8" w:rsidRPr="00355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813 960,7</w:t>
      </w:r>
      <w:r w:rsidRPr="003556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35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тыс. долл. США. По сравнению с 2015 г. ПИИ </w:t>
      </w:r>
      <w:r w:rsidRPr="003556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снизилось на </w:t>
      </w:r>
      <w:r w:rsidR="00EF30A8" w:rsidRPr="003556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42,3</w:t>
      </w:r>
      <w:r w:rsidRPr="003556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%.</w:t>
      </w:r>
      <w:r w:rsidRPr="0035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7FB9" w:rsidRPr="00803C88" w:rsidRDefault="00EF30A8" w:rsidP="007D7FB9">
      <w:pPr>
        <w:numPr>
          <w:ilvl w:val="0"/>
          <w:numId w:val="1"/>
        </w:numPr>
        <w:spacing w:after="0" w:line="240" w:lineRule="auto"/>
        <w:ind w:left="284" w:firstLine="567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Обрабатывающее производство</w:t>
      </w:r>
      <w:r w:rsidR="007D7FB9"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составила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30,8</w:t>
      </w:r>
      <w:r w:rsidR="007D7FB9"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 от всех ПИИ.</w:t>
      </w:r>
    </w:p>
    <w:p w:rsidR="007D7FB9" w:rsidRPr="00803C88" w:rsidRDefault="007D7FB9" w:rsidP="007D7FB9">
      <w:pPr>
        <w:numPr>
          <w:ilvl w:val="0"/>
          <w:numId w:val="1"/>
        </w:numPr>
        <w:spacing w:after="0" w:line="240" w:lineRule="auto"/>
        <w:ind w:left="284" w:firstLine="567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Доля поступлений из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Китая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составила </w:t>
      </w:r>
      <w:r w:rsidR="00EF30A8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>% от всего объема ПИИ</w:t>
      </w:r>
    </w:p>
    <w:p w:rsidR="007D7FB9" w:rsidRPr="00803C88" w:rsidRDefault="007D7FB9" w:rsidP="007D7FB9">
      <w:pPr>
        <w:numPr>
          <w:ilvl w:val="0"/>
          <w:numId w:val="1"/>
        </w:numPr>
        <w:spacing w:after="0" w:line="240" w:lineRule="auto"/>
        <w:ind w:left="284" w:firstLine="567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Наибольший приток ПИИ наблюдается в г. Бишкек, который составил </w:t>
      </w:r>
      <w:r w:rsidR="00EF30A8">
        <w:rPr>
          <w:rFonts w:ascii="Times New Roman" w:hAnsi="Times New Roman" w:cs="Times New Roman"/>
          <w:b/>
          <w:sz w:val="24"/>
          <w:szCs w:val="24"/>
          <w:lang w:val="ru-RU"/>
        </w:rPr>
        <w:t>47,4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всего объема поступлений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D7FB9" w:rsidRPr="00803C88" w:rsidRDefault="007D7FB9" w:rsidP="007D7FB9">
      <w:pPr>
        <w:numPr>
          <w:ilvl w:val="0"/>
          <w:numId w:val="1"/>
        </w:numPr>
        <w:spacing w:after="0" w:line="240" w:lineRule="auto"/>
        <w:ind w:left="284" w:firstLine="567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структуре ПИИ преобладает </w:t>
      </w:r>
      <w:r w:rsidR="00EF30A8">
        <w:rPr>
          <w:rFonts w:ascii="Times New Roman" w:hAnsi="Times New Roman" w:cs="Times New Roman"/>
          <w:b/>
          <w:sz w:val="24"/>
          <w:szCs w:val="24"/>
          <w:lang w:val="ru-RU"/>
        </w:rPr>
        <w:t>собственный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капитал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F30A8">
        <w:rPr>
          <w:rFonts w:ascii="Times New Roman" w:hAnsi="Times New Roman" w:cs="Times New Roman"/>
          <w:b/>
          <w:sz w:val="24"/>
          <w:szCs w:val="24"/>
          <w:lang w:val="ru-RU"/>
        </w:rPr>
        <w:t>38,6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D7FB9" w:rsidRPr="00D512D0" w:rsidRDefault="007D7FB9" w:rsidP="007D7FB9">
      <w:pPr>
        <w:spacing w:after="0" w:line="240" w:lineRule="auto"/>
        <w:ind w:left="72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2967"/>
        <w:gridCol w:w="1429"/>
        <w:gridCol w:w="1287"/>
        <w:gridCol w:w="1428"/>
        <w:gridCol w:w="1144"/>
        <w:gridCol w:w="1143"/>
      </w:tblGrid>
      <w:tr w:rsidR="007D7FB9" w:rsidRPr="0035566D" w:rsidTr="003F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  <w:gridSpan w:val="6"/>
          </w:tcPr>
          <w:p w:rsidR="007D7FB9" w:rsidRDefault="007D7FB9" w:rsidP="0035566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прямых иностранных инвестиций  по территории</w:t>
            </w:r>
          </w:p>
          <w:p w:rsidR="0035566D" w:rsidRPr="000835B8" w:rsidRDefault="0035566D" w:rsidP="0035566D">
            <w:pPr>
              <w:keepNext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</w:p>
          <w:p w:rsidR="007D7FB9" w:rsidRPr="000835B8" w:rsidRDefault="007D7FB9" w:rsidP="0035566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7FB9" w:rsidRPr="000835B8" w:rsidTr="003F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D7FB9" w:rsidRPr="00901097" w:rsidRDefault="007D7FB9" w:rsidP="0035566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gridSpan w:val="2"/>
          </w:tcPr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572" w:type="dxa"/>
            <w:gridSpan w:val="2"/>
          </w:tcPr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43" w:type="dxa"/>
            <w:vMerge w:val="restart"/>
          </w:tcPr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 к</w:t>
            </w:r>
          </w:p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</w:t>
            </w:r>
          </w:p>
        </w:tc>
      </w:tr>
      <w:tr w:rsidR="007D7FB9" w:rsidRPr="000835B8" w:rsidTr="003F606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D7FB9" w:rsidRPr="00901097" w:rsidRDefault="007D7FB9" w:rsidP="0035566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:rsidR="007D7FB9" w:rsidRPr="00901097" w:rsidRDefault="007D7FB9" w:rsidP="0035566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долл. США</w:t>
            </w:r>
          </w:p>
        </w:tc>
        <w:tc>
          <w:tcPr>
            <w:tcW w:w="1287" w:type="dxa"/>
          </w:tcPr>
          <w:p w:rsidR="007D7FB9" w:rsidRPr="00901097" w:rsidRDefault="007D7FB9" w:rsidP="0035566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28" w:type="dxa"/>
          </w:tcPr>
          <w:p w:rsidR="007D7FB9" w:rsidRPr="00901097" w:rsidRDefault="007D7FB9" w:rsidP="0035566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долл. США</w:t>
            </w:r>
          </w:p>
        </w:tc>
        <w:tc>
          <w:tcPr>
            <w:tcW w:w="1144" w:type="dxa"/>
          </w:tcPr>
          <w:p w:rsidR="007D7FB9" w:rsidRPr="00901097" w:rsidRDefault="007D7FB9" w:rsidP="0035566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43" w:type="dxa"/>
            <w:vMerge/>
          </w:tcPr>
          <w:p w:rsidR="007D7FB9" w:rsidRPr="00901097" w:rsidRDefault="007D7FB9" w:rsidP="0035566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7FB9" w:rsidRPr="000835B8" w:rsidTr="003F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D7FB9" w:rsidRPr="00901097" w:rsidRDefault="007D7FB9" w:rsidP="0035566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29" w:type="dxa"/>
          </w:tcPr>
          <w:p w:rsidR="007D7FB9" w:rsidRPr="00EF30A8" w:rsidRDefault="00EF30A8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813 960,7</w:t>
            </w:r>
          </w:p>
        </w:tc>
        <w:tc>
          <w:tcPr>
            <w:tcW w:w="1287" w:type="dxa"/>
          </w:tcPr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1 573 243,</w:t>
            </w:r>
            <w:r w:rsidRPr="00901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144" w:type="dxa"/>
          </w:tcPr>
          <w:p w:rsidR="007D7FB9" w:rsidRPr="00901097" w:rsidRDefault="007D7FB9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43" w:type="dxa"/>
          </w:tcPr>
          <w:p w:rsidR="007D7FB9" w:rsidRPr="00901097" w:rsidRDefault="006E1876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51,7</w:t>
            </w:r>
          </w:p>
        </w:tc>
      </w:tr>
      <w:tr w:rsidR="007D7FB9" w:rsidRPr="000835B8" w:rsidTr="0035566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EF30A8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487,5</w:t>
            </w:r>
          </w:p>
        </w:tc>
        <w:tc>
          <w:tcPr>
            <w:tcW w:w="1287" w:type="dxa"/>
            <w:vAlign w:val="bottom"/>
          </w:tcPr>
          <w:p w:rsidR="007D7FB9" w:rsidRPr="006E1876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23 962,2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39,6</w:t>
            </w:r>
          </w:p>
        </w:tc>
      </w:tr>
      <w:tr w:rsidR="007D7FB9" w:rsidRPr="000835B8" w:rsidTr="0035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Джалал-Абадская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EF30A8" w:rsidRDefault="00EF30A8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96 245,0</w:t>
            </w:r>
          </w:p>
        </w:tc>
        <w:tc>
          <w:tcPr>
            <w:tcW w:w="1287" w:type="dxa"/>
            <w:vAlign w:val="bottom"/>
          </w:tcPr>
          <w:p w:rsidR="007D7FB9" w:rsidRPr="006E1876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202 253,0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7D7FB9" w:rsidRPr="000835B8" w:rsidTr="0035566D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Иссык-Кульская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EF30A8" w:rsidRDefault="00EF30A8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96 707,9</w:t>
            </w:r>
          </w:p>
        </w:tc>
        <w:tc>
          <w:tcPr>
            <w:tcW w:w="1287" w:type="dxa"/>
            <w:vAlign w:val="bottom"/>
          </w:tcPr>
          <w:p w:rsidR="007D7FB9" w:rsidRPr="006E1876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132 430,3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7D7FB9" w:rsidRPr="000835B8" w:rsidTr="0035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Нарынская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757,9</w:t>
            </w:r>
          </w:p>
        </w:tc>
        <w:tc>
          <w:tcPr>
            <w:tcW w:w="1287" w:type="dxa"/>
            <w:vAlign w:val="bottom"/>
          </w:tcPr>
          <w:p w:rsidR="007D7FB9" w:rsidRPr="006E1876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15 264,5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D7FB9" w:rsidRPr="000835B8" w:rsidTr="003556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901097" w:rsidRDefault="00EF30A8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2 689,1</w:t>
            </w:r>
          </w:p>
        </w:tc>
        <w:tc>
          <w:tcPr>
            <w:tcW w:w="1287" w:type="dxa"/>
            <w:vAlign w:val="bottom"/>
          </w:tcPr>
          <w:p w:rsidR="007D7FB9" w:rsidRPr="00EF30A8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3 516,9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7D7FB9" w:rsidRPr="000835B8" w:rsidTr="0035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12 724,3</w:t>
            </w:r>
          </w:p>
        </w:tc>
        <w:tc>
          <w:tcPr>
            <w:tcW w:w="1287" w:type="dxa"/>
            <w:vAlign w:val="bottom"/>
          </w:tcPr>
          <w:p w:rsidR="007D7FB9" w:rsidRPr="00EF30A8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876,8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43" w:type="dxa"/>
            <w:vAlign w:val="bottom"/>
          </w:tcPr>
          <w:p w:rsidR="007D7FB9" w:rsidRPr="00901097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1451,2</w:t>
            </w:r>
          </w:p>
        </w:tc>
      </w:tr>
      <w:tr w:rsidR="007D7FB9" w:rsidRPr="000835B8" w:rsidTr="0035566D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Чуйская</w:t>
            </w:r>
            <w:proofErr w:type="spellEnd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429" w:type="dxa"/>
            <w:vAlign w:val="bottom"/>
          </w:tcPr>
          <w:p w:rsidR="007D7FB9" w:rsidRPr="00EF30A8" w:rsidRDefault="00EF30A8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209 415,9</w:t>
            </w:r>
          </w:p>
        </w:tc>
        <w:tc>
          <w:tcPr>
            <w:tcW w:w="1287" w:type="dxa"/>
            <w:vAlign w:val="bottom"/>
          </w:tcPr>
          <w:p w:rsidR="007D7FB9" w:rsidRPr="00EF30A8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25,7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453 474,5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46,2</w:t>
            </w:r>
          </w:p>
        </w:tc>
      </w:tr>
      <w:tr w:rsidR="007D7FB9" w:rsidRPr="000835B8" w:rsidTr="0035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bottom"/>
          </w:tcPr>
          <w:p w:rsidR="007D7FB9" w:rsidRPr="00901097" w:rsidRDefault="007D7FB9" w:rsidP="003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proofErr w:type="spellEnd"/>
          </w:p>
        </w:tc>
        <w:tc>
          <w:tcPr>
            <w:tcW w:w="1429" w:type="dxa"/>
          </w:tcPr>
          <w:p w:rsidR="00EF30A8" w:rsidRDefault="00EF30A8" w:rsidP="0035566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FB9" w:rsidRPr="00901097" w:rsidRDefault="00EF30A8" w:rsidP="003556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385 727,9</w:t>
            </w:r>
          </w:p>
        </w:tc>
        <w:tc>
          <w:tcPr>
            <w:tcW w:w="1287" w:type="dxa"/>
            <w:vAlign w:val="bottom"/>
          </w:tcPr>
          <w:p w:rsidR="007D7FB9" w:rsidRPr="00EF30A8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1428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741 465,5</w:t>
            </w:r>
          </w:p>
        </w:tc>
        <w:tc>
          <w:tcPr>
            <w:tcW w:w="1144" w:type="dxa"/>
            <w:vAlign w:val="bottom"/>
          </w:tcPr>
          <w:p w:rsidR="007D7FB9" w:rsidRPr="00901097" w:rsidRDefault="007D7FB9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43" w:type="dxa"/>
            <w:vAlign w:val="bottom"/>
          </w:tcPr>
          <w:p w:rsidR="007D7FB9" w:rsidRPr="006E1876" w:rsidRDefault="006E1876" w:rsidP="0035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</w:tbl>
    <w:p w:rsidR="007D7FB9" w:rsidRPr="00DF7394" w:rsidRDefault="007D7FB9" w:rsidP="007D7F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7D7FB9" w:rsidRPr="00514016" w:rsidRDefault="007D7FB9" w:rsidP="007D7F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FB9" w:rsidRPr="001B3E96" w:rsidRDefault="007D7FB9" w:rsidP="007D7F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14016">
        <w:rPr>
          <w:rFonts w:ascii="Times New Roman" w:hAnsi="Times New Roman" w:cs="Times New Roman"/>
          <w:sz w:val="24"/>
          <w:szCs w:val="24"/>
          <w:lang w:val="ru-RU"/>
        </w:rPr>
        <w:t xml:space="preserve">В 2016 г. наибольший удельный вес поступлений ПИИ приходится в  г. Бишкек, составив </w:t>
      </w:r>
      <w:r w:rsidR="006E1876">
        <w:rPr>
          <w:rFonts w:ascii="Times New Roman" w:hAnsi="Times New Roman" w:cs="Times New Roman"/>
          <w:sz w:val="24"/>
          <w:szCs w:val="24"/>
          <w:lang w:val="ru-RU"/>
        </w:rPr>
        <w:t>47,4</w:t>
      </w:r>
      <w:r w:rsidRPr="00514016">
        <w:rPr>
          <w:rFonts w:ascii="Times New Roman" w:hAnsi="Times New Roman" w:cs="Times New Roman"/>
          <w:sz w:val="24"/>
          <w:szCs w:val="24"/>
          <w:lang w:val="ru-RU"/>
        </w:rPr>
        <w:t>% от всего объема.</w:t>
      </w:r>
    </w:p>
    <w:p w:rsidR="007D7FB9" w:rsidRDefault="007D7FB9" w:rsidP="007D7FB9">
      <w:pPr>
        <w:spacing w:after="0" w:line="240" w:lineRule="auto"/>
        <w:rPr>
          <w:lang w:val="ru-RU"/>
        </w:rPr>
      </w:pPr>
    </w:p>
    <w:p w:rsidR="006E1876" w:rsidRDefault="006E1876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7D7FB9" w:rsidRPr="00514016" w:rsidRDefault="007D7FB9" w:rsidP="007D7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01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Структура поступлений ПИИ </w:t>
      </w: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>за 2016 г.</w:t>
      </w:r>
    </w:p>
    <w:p w:rsidR="007D7FB9" w:rsidRPr="00D05CEC" w:rsidRDefault="007D7FB9" w:rsidP="007D7FB9">
      <w:pPr>
        <w:spacing w:after="0" w:line="240" w:lineRule="auto"/>
        <w:rPr>
          <w:lang w:val="ru-RU"/>
        </w:rPr>
      </w:pPr>
    </w:p>
    <w:p w:rsidR="007D7FB9" w:rsidRDefault="007D7FB9" w:rsidP="007D7FB9">
      <w:pPr>
        <w:keepNext/>
        <w:spacing w:after="0" w:line="240" w:lineRule="auto"/>
        <w:rPr>
          <w:lang w:val="ru-RU"/>
        </w:rPr>
      </w:pPr>
      <w:bookmarkStart w:id="0" w:name="_GoBack"/>
      <w:r w:rsidRPr="00993413">
        <w:rPr>
          <w:noProof/>
          <w:lang w:val="ru-RU" w:eastAsia="ru-RU" w:bidi="ar-SA"/>
        </w:rPr>
        <w:drawing>
          <wp:inline distT="0" distB="0" distL="0" distR="0" wp14:anchorId="42A17982" wp14:editId="47BF4F03">
            <wp:extent cx="5417389" cy="3019245"/>
            <wp:effectExtent l="0" t="0" r="1206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7D7FB9" w:rsidRDefault="007D7FB9" w:rsidP="007D7FB9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D7FB9" w:rsidRPr="006C36A7" w:rsidRDefault="006E1876" w:rsidP="007D7FB9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Собственный капитал</w:t>
      </w:r>
      <w:r w:rsidR="007D7FB9">
        <w:rPr>
          <w:rFonts w:ascii="Times New Roman" w:hAnsi="Times New Roman" w:cs="Times New Roman"/>
          <w:sz w:val="24"/>
          <w:szCs w:val="24"/>
          <w:lang w:val="ru-RU"/>
        </w:rPr>
        <w:t xml:space="preserve"> снизился на 4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D7FB9">
        <w:rPr>
          <w:rFonts w:ascii="Times New Roman" w:hAnsi="Times New Roman" w:cs="Times New Roman"/>
          <w:sz w:val="24"/>
          <w:szCs w:val="24"/>
          <w:lang w:val="ru-RU"/>
        </w:rPr>
        <w:t>,6%, составив</w:t>
      </w:r>
      <w:r w:rsidR="007D7FB9" w:rsidRPr="006C3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314,2</w:t>
      </w:r>
      <w:r w:rsidR="007D7FB9" w:rsidRPr="006C36A7">
        <w:rPr>
          <w:rFonts w:ascii="Times New Roman" w:hAnsi="Times New Roman" w:cs="Times New Roman"/>
          <w:sz w:val="24"/>
          <w:szCs w:val="24"/>
          <w:lang w:val="ru-RU"/>
        </w:rPr>
        <w:t xml:space="preserve"> млн. долл. США</w:t>
      </w:r>
      <w:r w:rsidR="007D7FB9">
        <w:rPr>
          <w:rFonts w:ascii="Times New Roman" w:hAnsi="Times New Roman" w:cs="Times New Roman"/>
          <w:sz w:val="24"/>
          <w:szCs w:val="24"/>
          <w:lang w:val="ru-RU"/>
        </w:rPr>
        <w:t xml:space="preserve">. Данный вид инвестиций составил  </w:t>
      </w:r>
      <w:r>
        <w:rPr>
          <w:rFonts w:ascii="Times New Roman" w:hAnsi="Times New Roman" w:cs="Times New Roman"/>
          <w:sz w:val="24"/>
          <w:szCs w:val="24"/>
          <w:lang w:val="ru-RU"/>
        </w:rPr>
        <w:t>38,6</w:t>
      </w:r>
      <w:r w:rsidR="007D7FB9">
        <w:rPr>
          <w:rFonts w:ascii="Times New Roman" w:hAnsi="Times New Roman" w:cs="Times New Roman"/>
          <w:sz w:val="24"/>
          <w:szCs w:val="24"/>
          <w:lang w:val="ru-RU"/>
        </w:rPr>
        <w:t>% в общей сумме прямых иностранных инвестиций.</w:t>
      </w:r>
    </w:p>
    <w:p w:rsidR="007D7FB9" w:rsidRPr="000644BF" w:rsidRDefault="007D7FB9" w:rsidP="007D7FB9">
      <w:pPr>
        <w:keepNext/>
        <w:spacing w:after="0" w:line="240" w:lineRule="auto"/>
        <w:rPr>
          <w:sz w:val="2"/>
          <w:lang w:val="ru-RU"/>
        </w:rPr>
      </w:pPr>
      <w:r w:rsidRPr="000644BF">
        <w:rPr>
          <w:noProof/>
          <w:lang w:val="ru-RU" w:eastAsia="ru-RU" w:bidi="ar-SA"/>
        </w:rPr>
        <w:drawing>
          <wp:inline distT="0" distB="0" distL="0" distR="0" wp14:anchorId="426423EE" wp14:editId="16C34292">
            <wp:extent cx="5832120" cy="2541319"/>
            <wp:effectExtent l="0" t="0" r="16510" b="1143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FB9" w:rsidRDefault="007D7FB9" w:rsidP="007D7FB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7FB9" w:rsidRPr="00803C88" w:rsidRDefault="007D7FB9" w:rsidP="007D7FB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03C88">
        <w:rPr>
          <w:rFonts w:ascii="Times New Roman" w:hAnsi="Times New Roman" w:cs="Times New Roman"/>
          <w:b/>
          <w:sz w:val="24"/>
          <w:szCs w:val="24"/>
          <w:lang w:val="ru-RU"/>
        </w:rPr>
        <w:t>Приток ПИИ из стран СНГ</w:t>
      </w: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 в 2016 году в сравнении с  2015 годом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снизился на </w:t>
      </w:r>
      <w:r w:rsidR="006E1876">
        <w:rPr>
          <w:rFonts w:ascii="Times New Roman" w:hAnsi="Times New Roman" w:cs="Times New Roman"/>
          <w:sz w:val="24"/>
          <w:szCs w:val="24"/>
          <w:u w:val="single"/>
          <w:lang w:val="ru-RU"/>
        </w:rPr>
        <w:t>45,4</w:t>
      </w:r>
      <w:r w:rsidRPr="00803C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% и составил </w:t>
      </w:r>
      <w:r w:rsidR="00CC4665">
        <w:rPr>
          <w:rFonts w:ascii="Times New Roman" w:hAnsi="Times New Roman" w:cs="Times New Roman"/>
          <w:sz w:val="24"/>
          <w:szCs w:val="24"/>
          <w:u w:val="single"/>
          <w:lang w:val="ru-RU"/>
        </w:rPr>
        <w:t>314,8</w:t>
      </w:r>
      <w:r w:rsidRPr="00803C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млн. долларов США,</w:t>
      </w: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 что составило </w:t>
      </w:r>
      <w:r w:rsidR="00CC4665">
        <w:rPr>
          <w:rFonts w:ascii="Times New Roman" w:hAnsi="Times New Roman" w:cs="Times New Roman"/>
          <w:sz w:val="24"/>
          <w:szCs w:val="24"/>
          <w:lang w:val="ru-RU"/>
        </w:rPr>
        <w:t>38,7</w:t>
      </w: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% от всего объема поступлений. Объем </w:t>
      </w:r>
      <w:proofErr w:type="gramStart"/>
      <w:r w:rsidRPr="00803C88">
        <w:rPr>
          <w:rFonts w:ascii="Times New Roman" w:hAnsi="Times New Roman" w:cs="Times New Roman"/>
          <w:sz w:val="24"/>
          <w:szCs w:val="24"/>
          <w:lang w:val="ru-RU"/>
        </w:rPr>
        <w:t>вложений, осуществленных инвесторами из Российской Федерации составил</w:t>
      </w:r>
      <w:proofErr w:type="gramEnd"/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4665">
        <w:rPr>
          <w:rFonts w:ascii="Times New Roman" w:hAnsi="Times New Roman" w:cs="Times New Roman"/>
          <w:sz w:val="24"/>
          <w:szCs w:val="24"/>
          <w:lang w:val="ru-RU"/>
        </w:rPr>
        <w:t xml:space="preserve">291,5 млн. долларов США </w:t>
      </w:r>
    </w:p>
    <w:p w:rsidR="007D7FB9" w:rsidRPr="00803C88" w:rsidRDefault="00CC4665" w:rsidP="007D7FB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50,1</w:t>
      </w:r>
      <w:r w:rsidR="007D7FB9" w:rsidRPr="00803C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от всего объема ПИИ приходится на страны вне СНГ. </w:t>
      </w:r>
    </w:p>
    <w:p w:rsidR="007D7FB9" w:rsidRPr="00803C88" w:rsidRDefault="007D7FB9" w:rsidP="007D7FB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Поступления из КНР составили </w:t>
      </w:r>
      <w:r w:rsidR="00CC4665">
        <w:rPr>
          <w:rFonts w:ascii="Times New Roman" w:hAnsi="Times New Roman" w:cs="Times New Roman"/>
          <w:sz w:val="24"/>
          <w:szCs w:val="24"/>
          <w:lang w:val="ru-RU"/>
        </w:rPr>
        <w:t>301,3</w:t>
      </w: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 млн. долл. США, </w:t>
      </w:r>
      <w:r w:rsidR="00CC4665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% от всего объема,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снизился на </w:t>
      </w:r>
      <w:r w:rsidR="00CC4665">
        <w:rPr>
          <w:rFonts w:ascii="Times New Roman" w:hAnsi="Times New Roman" w:cs="Times New Roman"/>
          <w:sz w:val="24"/>
          <w:szCs w:val="24"/>
          <w:lang w:val="ru-RU"/>
        </w:rPr>
        <w:t>36,5</w:t>
      </w:r>
      <w:r>
        <w:rPr>
          <w:rFonts w:ascii="Times New Roman" w:hAnsi="Times New Roman" w:cs="Times New Roman"/>
          <w:sz w:val="24"/>
          <w:szCs w:val="24"/>
          <w:lang w:val="ru-RU"/>
        </w:rPr>
        <w:t>% в сравнении</w:t>
      </w:r>
      <w:r w:rsidRPr="00803C88">
        <w:rPr>
          <w:rFonts w:ascii="Times New Roman" w:hAnsi="Times New Roman" w:cs="Times New Roman"/>
          <w:sz w:val="24"/>
          <w:szCs w:val="24"/>
          <w:lang w:val="ru-RU"/>
        </w:rPr>
        <w:t xml:space="preserve"> с 2015г.</w:t>
      </w:r>
    </w:p>
    <w:p w:rsidR="007D7FB9" w:rsidRPr="00514016" w:rsidRDefault="007D7FB9" w:rsidP="007D7FB9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514016">
        <w:rPr>
          <w:rFonts w:ascii="Times New Roman" w:hAnsi="Times New Roman"/>
          <w:sz w:val="24"/>
          <w:szCs w:val="24"/>
          <w:lang w:val="ru-RU"/>
        </w:rPr>
        <w:br w:type="page"/>
      </w:r>
    </w:p>
    <w:p w:rsidR="007D7FB9" w:rsidRPr="00514016" w:rsidRDefault="007D7FB9" w:rsidP="007D7FB9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01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Поступление ПИИ по сферам деятельности за 2016год </w:t>
      </w:r>
      <w:proofErr w:type="gramStart"/>
      <w:r w:rsidRPr="0051401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514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%.</w:t>
      </w:r>
    </w:p>
    <w:p w:rsidR="007D7FB9" w:rsidRDefault="007D7FB9" w:rsidP="007D7FB9">
      <w:pPr>
        <w:spacing w:after="0" w:line="240" w:lineRule="auto"/>
        <w:rPr>
          <w:noProof/>
          <w:lang w:val="ru-RU" w:eastAsia="ru-RU" w:bidi="ar-SA"/>
        </w:rPr>
      </w:pPr>
    </w:p>
    <w:p w:rsidR="00CC4665" w:rsidRDefault="00CC4665" w:rsidP="007D7FB9">
      <w:pPr>
        <w:spacing w:after="0" w:line="240" w:lineRule="auto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57900" cy="4105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665" w:rsidRDefault="00CC4665" w:rsidP="007D7FB9">
      <w:pPr>
        <w:spacing w:after="0" w:line="240" w:lineRule="auto"/>
      </w:pPr>
    </w:p>
    <w:p w:rsidR="007D7FB9" w:rsidRPr="001C1F83" w:rsidRDefault="007D7FB9" w:rsidP="001C1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6C09">
        <w:rPr>
          <w:rFonts w:ascii="Times New Roman" w:hAnsi="Times New Roman" w:cs="Times New Roman"/>
          <w:sz w:val="24"/>
          <w:szCs w:val="24"/>
          <w:lang w:val="ru-RU"/>
        </w:rPr>
        <w:t xml:space="preserve">По видам экономической деятельности основная доля поступлений (в общем – </w:t>
      </w:r>
      <w:r w:rsidR="001C1F83">
        <w:rPr>
          <w:rFonts w:ascii="Times New Roman" w:hAnsi="Times New Roman" w:cs="Times New Roman"/>
          <w:sz w:val="24"/>
          <w:szCs w:val="24"/>
          <w:lang w:val="ru-RU"/>
        </w:rPr>
        <w:t>80,3</w:t>
      </w:r>
      <w:r w:rsidRPr="008A6C09">
        <w:rPr>
          <w:rFonts w:ascii="Times New Roman" w:hAnsi="Times New Roman" w:cs="Times New Roman"/>
          <w:sz w:val="24"/>
          <w:szCs w:val="24"/>
          <w:lang w:val="ru-RU"/>
        </w:rPr>
        <w:t xml:space="preserve">%) пришлась </w:t>
      </w:r>
      <w:r w:rsidR="001C1F83" w:rsidRPr="008A6C09">
        <w:rPr>
          <w:rFonts w:ascii="Times New Roman" w:hAnsi="Times New Roman" w:cs="Times New Roman"/>
          <w:sz w:val="24"/>
          <w:szCs w:val="24"/>
          <w:lang w:val="ru-RU"/>
        </w:rPr>
        <w:t xml:space="preserve">в сферу обрабатывающей промышленности – </w:t>
      </w:r>
      <w:r w:rsidR="001C1F83">
        <w:rPr>
          <w:rFonts w:ascii="Times New Roman" w:hAnsi="Times New Roman" w:cs="Times New Roman"/>
          <w:sz w:val="24"/>
          <w:szCs w:val="24"/>
          <w:lang w:val="ru-RU"/>
        </w:rPr>
        <w:t>38,0</w:t>
      </w:r>
      <w:r w:rsidR="001C1F83" w:rsidRPr="008A6C09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1C1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6C09">
        <w:rPr>
          <w:rFonts w:ascii="Times New Roman" w:hAnsi="Times New Roman" w:cs="Times New Roman"/>
          <w:sz w:val="24"/>
          <w:szCs w:val="24"/>
          <w:lang w:val="ru-RU"/>
        </w:rPr>
        <w:t xml:space="preserve">на сферу финансовой деятельности – </w:t>
      </w:r>
      <w:r w:rsidR="001C1F8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8A6C09">
        <w:rPr>
          <w:rFonts w:ascii="Times New Roman" w:hAnsi="Times New Roman" w:cs="Times New Roman"/>
          <w:sz w:val="24"/>
          <w:szCs w:val="24"/>
          <w:lang w:val="ru-RU"/>
        </w:rPr>
        <w:t xml:space="preserve">%;, в сферу профессиональной, научной и технической деятельности – </w:t>
      </w:r>
      <w:r w:rsidR="001C1F83">
        <w:rPr>
          <w:rFonts w:ascii="Times New Roman" w:hAnsi="Times New Roman" w:cs="Times New Roman"/>
          <w:sz w:val="24"/>
          <w:szCs w:val="24"/>
          <w:lang w:val="ru-RU"/>
        </w:rPr>
        <w:t>20,3</w:t>
      </w:r>
      <w:r w:rsidRPr="008A6C09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7FB9" w:rsidRPr="001C1F83" w:rsidRDefault="007D7FB9" w:rsidP="001C1F83">
      <w:pPr>
        <w:pStyle w:val="a3"/>
        <w:keepNext/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B51779">
        <w:rPr>
          <w:rFonts w:cstheme="minorHAnsi"/>
          <w:sz w:val="24"/>
          <w:lang w:val="ru-RU"/>
        </w:rPr>
        <w:lastRenderedPageBreak/>
        <w:t xml:space="preserve"> </w:t>
      </w:r>
      <w:r w:rsidRPr="00514016">
        <w:rPr>
          <w:rFonts w:ascii="Times New Roman" w:hAnsi="Times New Roman" w:cs="Times New Roman"/>
          <w:sz w:val="24"/>
          <w:lang w:val="ru-RU"/>
        </w:rPr>
        <w:t>Поступление ПИИ в КР за 2011-201</w:t>
      </w:r>
      <w:r w:rsidR="0035566D">
        <w:rPr>
          <w:rFonts w:ascii="Times New Roman" w:hAnsi="Times New Roman" w:cs="Times New Roman"/>
          <w:sz w:val="24"/>
          <w:lang w:val="ru-RU"/>
        </w:rPr>
        <w:t>6</w:t>
      </w:r>
      <w:r w:rsidRPr="00514016">
        <w:rPr>
          <w:rFonts w:ascii="Times New Roman" w:hAnsi="Times New Roman" w:cs="Times New Roman"/>
          <w:sz w:val="24"/>
          <w:lang w:val="ru-RU"/>
        </w:rPr>
        <w:t xml:space="preserve"> гг. (в млн. долларах США)</w:t>
      </w:r>
    </w:p>
    <w:p w:rsidR="007D7FB9" w:rsidRDefault="007D7FB9" w:rsidP="007D7FB9">
      <w:pPr>
        <w:keepNext/>
        <w:spacing w:after="0" w:line="240" w:lineRule="auto"/>
        <w:rPr>
          <w:lang w:val="ru-RU"/>
        </w:rPr>
      </w:pPr>
    </w:p>
    <w:p w:rsidR="007D7FB9" w:rsidRDefault="007D7FB9" w:rsidP="007D7FB9">
      <w:pPr>
        <w:keepNext/>
        <w:spacing w:after="0" w:line="240" w:lineRule="auto"/>
        <w:rPr>
          <w:lang w:val="ru-RU"/>
        </w:rPr>
      </w:pPr>
    </w:p>
    <w:p w:rsidR="007D7FB9" w:rsidRDefault="001C1F83" w:rsidP="007D7FB9">
      <w:pPr>
        <w:keepNext/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2EC5977" wp14:editId="6030F827">
            <wp:extent cx="5835485" cy="3135085"/>
            <wp:effectExtent l="19050" t="0" r="12865" b="816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FB9" w:rsidRPr="007F0036" w:rsidRDefault="007D7FB9" w:rsidP="007D7FB9">
      <w:pPr>
        <w:keepNext/>
        <w:spacing w:after="0" w:line="240" w:lineRule="auto"/>
        <w:rPr>
          <w:lang w:val="ru-RU"/>
        </w:rPr>
      </w:pPr>
    </w:p>
    <w:p w:rsidR="007D7FB9" w:rsidRPr="00887567" w:rsidRDefault="007D7FB9" w:rsidP="007D7FB9">
      <w:pPr>
        <w:spacing w:after="0" w:line="240" w:lineRule="auto"/>
        <w:rPr>
          <w:lang w:val="ru-RU"/>
        </w:rPr>
      </w:pPr>
    </w:p>
    <w:p w:rsidR="007D7FB9" w:rsidRPr="001C1F83" w:rsidRDefault="007D7FB9" w:rsidP="007D7FB9">
      <w:pPr>
        <w:spacing w:after="0" w:line="240" w:lineRule="auto"/>
        <w:rPr>
          <w:lang w:val="ru-RU"/>
        </w:rPr>
      </w:pPr>
    </w:p>
    <w:p w:rsidR="003F04D9" w:rsidRDefault="003F04D9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3F04D9" w:rsidRPr="003F04D9" w:rsidRDefault="003F04D9" w:rsidP="003F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Справка по притоку прямых иностранных инвестиций</w:t>
      </w:r>
    </w:p>
    <w:p w:rsidR="003F04D9" w:rsidRPr="00192089" w:rsidRDefault="003F04D9" w:rsidP="003F04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По уточненным данным национального статистического комитета </w:t>
      </w:r>
      <w:proofErr w:type="gramStart"/>
      <w:r w:rsidRPr="003F04D9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 объем притока прямых иностранных инвестиций (ПИИ) в 2016 г. 813</w:t>
      </w:r>
      <w:r w:rsidRPr="003F04D9">
        <w:rPr>
          <w:rFonts w:ascii="Times New Roman" w:hAnsi="Times New Roman" w:cs="Times New Roman"/>
          <w:sz w:val="28"/>
          <w:szCs w:val="28"/>
        </w:rPr>
        <w:t> </w:t>
      </w: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960,7 тыс. долл. </w:t>
      </w:r>
      <w:r w:rsidRPr="00192089">
        <w:rPr>
          <w:rFonts w:ascii="Times New Roman" w:hAnsi="Times New Roman" w:cs="Times New Roman"/>
          <w:sz w:val="28"/>
          <w:szCs w:val="28"/>
          <w:lang w:val="ru-RU"/>
        </w:rPr>
        <w:t>США, что меньше поступлений за 2015 г на 48,3%.</w:t>
      </w:r>
    </w:p>
    <w:p w:rsidR="003F04D9" w:rsidRPr="003F04D9" w:rsidRDefault="003F04D9" w:rsidP="003F04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>По видам экономической деятельности основная доля поступлений (в общем – 80,3%) пришлась:</w:t>
      </w:r>
    </w:p>
    <w:p w:rsidR="003F04D9" w:rsidRPr="003F04D9" w:rsidRDefault="003F04D9" w:rsidP="003F04D9">
      <w:pPr>
        <w:pStyle w:val="aa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F04D9">
        <w:rPr>
          <w:rFonts w:cs="Times New Roman"/>
          <w:sz w:val="28"/>
          <w:szCs w:val="28"/>
        </w:rPr>
        <w:t>в сферу обрабатывающей промышленности – 38,0%;</w:t>
      </w:r>
    </w:p>
    <w:p w:rsidR="003F04D9" w:rsidRPr="003F04D9" w:rsidRDefault="003F04D9" w:rsidP="003F04D9">
      <w:pPr>
        <w:pStyle w:val="aa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F04D9">
        <w:rPr>
          <w:rFonts w:cs="Times New Roman"/>
          <w:sz w:val="28"/>
          <w:szCs w:val="28"/>
        </w:rPr>
        <w:t xml:space="preserve">на сферу финансовой деятельности – 22,0%; </w:t>
      </w:r>
    </w:p>
    <w:p w:rsidR="003F04D9" w:rsidRPr="003F04D9" w:rsidRDefault="003F04D9" w:rsidP="003F04D9">
      <w:pPr>
        <w:pStyle w:val="aa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F04D9">
        <w:rPr>
          <w:rFonts w:cs="Times New Roman"/>
          <w:sz w:val="28"/>
          <w:szCs w:val="28"/>
        </w:rPr>
        <w:t>в сферу профессиональной, научной и технической деятельности – 20,3%.</w:t>
      </w:r>
    </w:p>
    <w:p w:rsidR="003F04D9" w:rsidRPr="003F04D9" w:rsidRDefault="003F04D9" w:rsidP="003F04D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Приток ПИИ из стран СНГ в 2016 году в сравнении с  аналогичным периодом 2015 годом </w:t>
      </w:r>
      <w:r w:rsidRPr="003F04D9">
        <w:rPr>
          <w:rFonts w:ascii="Times New Roman" w:hAnsi="Times New Roman" w:cs="Times New Roman"/>
          <w:sz w:val="28"/>
          <w:szCs w:val="28"/>
          <w:u w:val="single"/>
          <w:lang w:val="ru-RU"/>
        </w:rPr>
        <w:t>снизился на 45,4% и составил 314,8 млн. долларов США,</w:t>
      </w: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 что составило 38,7% от всего объема поступлений. Объем </w:t>
      </w:r>
      <w:proofErr w:type="gramStart"/>
      <w:r w:rsidRPr="003F04D9">
        <w:rPr>
          <w:rFonts w:ascii="Times New Roman" w:hAnsi="Times New Roman" w:cs="Times New Roman"/>
          <w:sz w:val="28"/>
          <w:szCs w:val="28"/>
          <w:lang w:val="ru-RU"/>
        </w:rPr>
        <w:t>вложений, осуществленных инвесторами из Российской Федерации составил</w:t>
      </w:r>
      <w:proofErr w:type="gramEnd"/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 291,5 млн. долларов США. </w:t>
      </w:r>
    </w:p>
    <w:p w:rsidR="003F04D9" w:rsidRPr="003F04D9" w:rsidRDefault="003F04D9" w:rsidP="003F04D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50,1% от всего объема ПИИ приходится на страны вне СНГ. </w:t>
      </w:r>
    </w:p>
    <w:p w:rsidR="003F04D9" w:rsidRPr="003F04D9" w:rsidRDefault="003F04D9" w:rsidP="003F04D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из КНР составили 301,3 млн. долл. США, 37% от всего объема, </w:t>
      </w:r>
      <w:r w:rsidRPr="003F04D9">
        <w:rPr>
          <w:rFonts w:ascii="Times New Roman" w:hAnsi="Times New Roman" w:cs="Times New Roman"/>
          <w:sz w:val="28"/>
          <w:szCs w:val="28"/>
          <w:u w:val="single"/>
          <w:lang w:val="ru-RU"/>
        </w:rPr>
        <w:t>и снизился на 36,3%</w:t>
      </w: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 с 2015г.</w:t>
      </w:r>
    </w:p>
    <w:p w:rsidR="003F04D9" w:rsidRPr="003F04D9" w:rsidRDefault="003F04D9" w:rsidP="003F04D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>При этом необходимо отметить, что объемы поступлений из России и Китая составили 75,7% от всего объема поступлений.</w:t>
      </w:r>
    </w:p>
    <w:p w:rsidR="003F04D9" w:rsidRPr="003F04D9" w:rsidRDefault="003F04D9" w:rsidP="003F04D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В разбивке по регионам, наибольший приток инвестиций зафиксирован в </w:t>
      </w:r>
      <w:proofErr w:type="spellStart"/>
      <w:r w:rsidRPr="003F04D9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3F04D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3F04D9">
        <w:rPr>
          <w:rFonts w:ascii="Times New Roman" w:hAnsi="Times New Roman" w:cs="Times New Roman"/>
          <w:sz w:val="28"/>
          <w:szCs w:val="28"/>
          <w:lang w:val="ru-RU"/>
        </w:rPr>
        <w:t>ишкек</w:t>
      </w:r>
      <w:proofErr w:type="spellEnd"/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 – 385,7 млн. долл. США и Чуйской области 209,4 млн. долл. США. Наименьший объем инвестиций приходится в </w:t>
      </w:r>
      <w:proofErr w:type="spellStart"/>
      <w:r w:rsidRPr="003F04D9">
        <w:rPr>
          <w:rFonts w:ascii="Times New Roman" w:hAnsi="Times New Roman" w:cs="Times New Roman"/>
          <w:sz w:val="28"/>
          <w:szCs w:val="28"/>
          <w:lang w:val="ru-RU"/>
        </w:rPr>
        <w:t>Нарынскую</w:t>
      </w:r>
      <w:proofErr w:type="spellEnd"/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 область – 757,9 тыс. долл. США</w:t>
      </w:r>
    </w:p>
    <w:p w:rsidR="003F04D9" w:rsidRPr="003F04D9" w:rsidRDefault="003F04D9" w:rsidP="003F04D9">
      <w:pPr>
        <w:tabs>
          <w:tab w:val="left" w:pos="6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>В сравнении с 2015 г. поступление ПИИ в 2016 г. снизилось на 48,3%.</w:t>
      </w:r>
    </w:p>
    <w:p w:rsidR="003F04D9" w:rsidRPr="003F04D9" w:rsidRDefault="003F04D9" w:rsidP="003F0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4D9">
        <w:rPr>
          <w:rFonts w:ascii="Times New Roman" w:hAnsi="Times New Roman" w:cs="Times New Roman"/>
          <w:sz w:val="28"/>
          <w:szCs w:val="28"/>
          <w:lang w:val="ru-RU"/>
        </w:rPr>
        <w:t>Данное снижение обусловлено в первую очередь тем, что в 2015 году был зафиксирован наибольший приток инвестиций. Ранее максимальный объем инвестиций поступал в 2013 году – 964</w:t>
      </w:r>
      <w:r w:rsidRPr="003F04D9">
        <w:rPr>
          <w:rFonts w:ascii="Times New Roman" w:hAnsi="Times New Roman" w:cs="Times New Roman"/>
          <w:sz w:val="28"/>
          <w:szCs w:val="28"/>
        </w:rPr>
        <w:t> </w:t>
      </w:r>
      <w:r w:rsidRPr="003F04D9">
        <w:rPr>
          <w:rFonts w:ascii="Times New Roman" w:hAnsi="Times New Roman" w:cs="Times New Roman"/>
          <w:sz w:val="28"/>
          <w:szCs w:val="28"/>
          <w:lang w:val="ru-RU"/>
        </w:rPr>
        <w:t xml:space="preserve">507,1 </w:t>
      </w:r>
      <w:proofErr w:type="spellStart"/>
      <w:r w:rsidRPr="003F04D9">
        <w:rPr>
          <w:rFonts w:ascii="Times New Roman" w:hAnsi="Times New Roman" w:cs="Times New Roman"/>
          <w:sz w:val="28"/>
          <w:szCs w:val="28"/>
          <w:lang w:val="ru-RU"/>
        </w:rPr>
        <w:t>тыс.долл</w:t>
      </w:r>
      <w:proofErr w:type="gramStart"/>
      <w:r w:rsidRPr="003F04D9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3F04D9"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spellEnd"/>
      <w:r w:rsidRPr="003F04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F4E" w:rsidRPr="001C1F83" w:rsidRDefault="00771F4E">
      <w:pPr>
        <w:rPr>
          <w:lang w:val="ru-RU"/>
        </w:rPr>
      </w:pPr>
    </w:p>
    <w:sectPr w:rsidR="00771F4E" w:rsidRPr="001C1F83" w:rsidSect="00D05CEC">
      <w:head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06" w:rsidRDefault="00702906">
      <w:pPr>
        <w:spacing w:after="0" w:line="240" w:lineRule="auto"/>
      </w:pPr>
      <w:r>
        <w:separator/>
      </w:r>
    </w:p>
  </w:endnote>
  <w:endnote w:type="continuationSeparator" w:id="0">
    <w:p w:rsidR="00702906" w:rsidRDefault="007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06" w:rsidRDefault="00702906">
      <w:pPr>
        <w:spacing w:after="0" w:line="240" w:lineRule="auto"/>
      </w:pPr>
      <w:r>
        <w:separator/>
      </w:r>
    </w:p>
  </w:footnote>
  <w:footnote w:type="continuationSeparator" w:id="0">
    <w:p w:rsidR="00702906" w:rsidRDefault="007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7" w:rsidRPr="00901097" w:rsidRDefault="00702906" w:rsidP="00901097">
    <w:pPr>
      <w:pStyle w:val="a4"/>
      <w:jc w:val="right"/>
      <w:rPr>
        <w:rFonts w:ascii="Times New Roman" w:hAnsi="Times New Roman" w:cs="Times New Roman"/>
        <w:i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818"/>
    <w:multiLevelType w:val="hybridMultilevel"/>
    <w:tmpl w:val="BE020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B4FB7"/>
    <w:multiLevelType w:val="hybridMultilevel"/>
    <w:tmpl w:val="C686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C8"/>
    <w:rsid w:val="000F44C8"/>
    <w:rsid w:val="00192089"/>
    <w:rsid w:val="001C1F83"/>
    <w:rsid w:val="0035566D"/>
    <w:rsid w:val="003F04D9"/>
    <w:rsid w:val="006E1876"/>
    <w:rsid w:val="00702906"/>
    <w:rsid w:val="00771F4E"/>
    <w:rsid w:val="007D7FB9"/>
    <w:rsid w:val="00853697"/>
    <w:rsid w:val="00B2763C"/>
    <w:rsid w:val="00CC4665"/>
    <w:rsid w:val="00E65E12"/>
    <w:rsid w:val="00E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B9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D7FB9"/>
    <w:rPr>
      <w:b/>
      <w:bCs/>
      <w:caps/>
      <w:sz w:val="16"/>
      <w:szCs w:val="18"/>
    </w:rPr>
  </w:style>
  <w:style w:type="table" w:styleId="1-2">
    <w:name w:val="Medium Grid 1 Accent 2"/>
    <w:basedOn w:val="a1"/>
    <w:uiPriority w:val="67"/>
    <w:rsid w:val="007D7FB9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a5"/>
    <w:uiPriority w:val="99"/>
    <w:unhideWhenUsed/>
    <w:rsid w:val="007D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FB9"/>
    <w:rPr>
      <w:rFonts w:eastAsiaTheme="minorEastAsia"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FB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F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0A8"/>
    <w:rPr>
      <w:rFonts w:eastAsiaTheme="minorEastAsia"/>
      <w:sz w:val="20"/>
      <w:szCs w:val="20"/>
      <w:lang w:val="en-US" w:bidi="en-US"/>
    </w:rPr>
  </w:style>
  <w:style w:type="paragraph" w:styleId="aa">
    <w:name w:val="List Paragraph"/>
    <w:aliases w:val="Akapit z listą BS,List Paragraph 1,NUMBERED PARAGRAPH,References,Paragraph,CPS,List_Paragraph,Multilevel para_II"/>
    <w:basedOn w:val="a"/>
    <w:link w:val="ab"/>
    <w:uiPriority w:val="34"/>
    <w:qFormat/>
    <w:rsid w:val="003F04D9"/>
    <w:pPr>
      <w:spacing w:after="0" w:line="240" w:lineRule="auto"/>
      <w:ind w:left="720"/>
      <w:contextualSpacing/>
      <w:jc w:val="left"/>
    </w:pPr>
    <w:rPr>
      <w:rFonts w:ascii="Times New Roman" w:eastAsiaTheme="minorHAnsi" w:hAnsi="Times New Roman"/>
      <w:sz w:val="24"/>
      <w:szCs w:val="22"/>
      <w:lang w:val="ru-RU" w:bidi="ar-SA"/>
    </w:rPr>
  </w:style>
  <w:style w:type="character" w:customStyle="1" w:styleId="ab">
    <w:name w:val="Абзац списка Знак"/>
    <w:aliases w:val="Akapit z listą BS Знак,List Paragraph 1 Знак,NUMBERED PARAGRAPH Знак,References Знак,Paragraph Знак,CPS Знак,List_Paragraph Знак,Multilevel para_II Знак"/>
    <w:link w:val="aa"/>
    <w:uiPriority w:val="34"/>
    <w:locked/>
    <w:rsid w:val="003F04D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B9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D7FB9"/>
    <w:rPr>
      <w:b/>
      <w:bCs/>
      <w:caps/>
      <w:sz w:val="16"/>
      <w:szCs w:val="18"/>
    </w:rPr>
  </w:style>
  <w:style w:type="table" w:styleId="1-2">
    <w:name w:val="Medium Grid 1 Accent 2"/>
    <w:basedOn w:val="a1"/>
    <w:uiPriority w:val="67"/>
    <w:rsid w:val="007D7FB9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a5"/>
    <w:uiPriority w:val="99"/>
    <w:unhideWhenUsed/>
    <w:rsid w:val="007D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FB9"/>
    <w:rPr>
      <w:rFonts w:eastAsiaTheme="minorEastAsia"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FB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F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0A8"/>
    <w:rPr>
      <w:rFonts w:eastAsiaTheme="minorEastAsia"/>
      <w:sz w:val="20"/>
      <w:szCs w:val="20"/>
      <w:lang w:val="en-US" w:bidi="en-US"/>
    </w:rPr>
  </w:style>
  <w:style w:type="paragraph" w:styleId="aa">
    <w:name w:val="List Paragraph"/>
    <w:aliases w:val="Akapit z listą BS,List Paragraph 1,NUMBERED PARAGRAPH,References,Paragraph,CPS,List_Paragraph,Multilevel para_II"/>
    <w:basedOn w:val="a"/>
    <w:link w:val="ab"/>
    <w:uiPriority w:val="34"/>
    <w:qFormat/>
    <w:rsid w:val="003F04D9"/>
    <w:pPr>
      <w:spacing w:after="0" w:line="240" w:lineRule="auto"/>
      <w:ind w:left="720"/>
      <w:contextualSpacing/>
      <w:jc w:val="left"/>
    </w:pPr>
    <w:rPr>
      <w:rFonts w:ascii="Times New Roman" w:eastAsiaTheme="minorHAnsi" w:hAnsi="Times New Roman"/>
      <w:sz w:val="24"/>
      <w:szCs w:val="22"/>
      <w:lang w:val="ru-RU" w:bidi="ar-SA"/>
    </w:rPr>
  </w:style>
  <w:style w:type="character" w:customStyle="1" w:styleId="ab">
    <w:name w:val="Абзац списка Знак"/>
    <w:aliases w:val="Akapit z listą BS Знак,List Paragraph 1 Знак,NUMBERED PARAGRAPH Знак,References Знак,Paragraph Знак,CPS Знак,List_Paragraph Знак,Multilevel para_II Знак"/>
    <w:link w:val="aa"/>
    <w:uiPriority w:val="34"/>
    <w:locked/>
    <w:rsid w:val="003F04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58809291007905E-2"/>
          <c:y val="0.1847100388915015"/>
          <c:w val="0.56144503043987692"/>
          <c:h val="0.688746563009895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Собственный капитал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47.1</c:v>
                </c:pt>
                <c:pt idx="1">
                  <c:v>38.6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Реинвестированная прибыль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11.8</c:v>
                </c:pt>
                <c:pt idx="1">
                  <c:v>17.3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Кредиты, полученные от зарубежных совладельцев предприяти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36.299999999999997</c:v>
                </c:pt>
                <c:pt idx="1">
                  <c:v>37.700000000000003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Торговые кредиты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Лист1!$E$2:$E$3</c:f>
              <c:numCache>
                <c:formatCode>#,##0.00</c:formatCode>
                <c:ptCount val="2"/>
                <c:pt idx="0">
                  <c:v>4.8</c:v>
                </c:pt>
                <c:pt idx="1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507200"/>
        <c:axId val="117508736"/>
      </c:barChart>
      <c:catAx>
        <c:axId val="11750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508736"/>
        <c:crosses val="autoZero"/>
        <c:auto val="1"/>
        <c:lblAlgn val="ctr"/>
        <c:lblOffset val="100"/>
        <c:noMultiLvlLbl val="0"/>
      </c:catAx>
      <c:valAx>
        <c:axId val="1175087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750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05212855016031"/>
          <c:y val="0.17853330916857763"/>
          <c:w val="0.27989387507524377"/>
          <c:h val="0.8207658440957907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стран в структуре поступления ПИИ 2016 </a:t>
            </a:r>
            <a:r>
              <a:rPr lang="ru-RU" sz="1400"/>
              <a:t>г. в %</a:t>
            </a:r>
          </a:p>
        </c:rich>
      </c:tx>
      <c:layout>
        <c:manualLayout>
          <c:xMode val="edge"/>
          <c:yMode val="edge"/>
          <c:x val="0.11799523137960742"/>
          <c:y val="2.498750624687656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944274934383205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661247812773411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1504082822980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02318460192479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28494094488188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6602143482065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95177165354336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45348498104412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6957567804024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575131233595800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35622630504523E-2"/>
                  <c:y val="3.96825396825397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Китай</c:v>
                </c:pt>
                <c:pt idx="1">
                  <c:v>Россия</c:v>
                </c:pt>
                <c:pt idx="2">
                  <c:v>Канада</c:v>
                </c:pt>
                <c:pt idx="3">
                  <c:v>Турция</c:v>
                </c:pt>
                <c:pt idx="4">
                  <c:v>Казахстан</c:v>
                </c:pt>
                <c:pt idx="5">
                  <c:v>Кипр</c:v>
                </c:pt>
                <c:pt idx="6">
                  <c:v>Нидерланды</c:v>
                </c:pt>
                <c:pt idx="7">
                  <c:v>Другие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35.799999999999997</c:v>
                </c:pt>
                <c:pt idx="2">
                  <c:v>14.6</c:v>
                </c:pt>
                <c:pt idx="3">
                  <c:v>4.0999999999999996</c:v>
                </c:pt>
                <c:pt idx="4">
                  <c:v>2.9</c:v>
                </c:pt>
                <c:pt idx="5">
                  <c:v>1.9</c:v>
                </c:pt>
                <c:pt idx="6">
                  <c:v>1.2</c:v>
                </c:pt>
                <c:pt idx="7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533312"/>
        <c:axId val="117551488"/>
      </c:barChart>
      <c:catAx>
        <c:axId val="117533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17551488"/>
        <c:crosses val="autoZero"/>
        <c:auto val="1"/>
        <c:lblAlgn val="ctr"/>
        <c:lblOffset val="100"/>
        <c:noMultiLvlLbl val="0"/>
      </c:catAx>
      <c:valAx>
        <c:axId val="117551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53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42513824527916"/>
          <c:y val="0.11899706392633125"/>
          <c:w val="0.61190872672016472"/>
          <c:h val="0.812853329774456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4.5628184036804013E-2"/>
                  <c:y val="7.14008630277147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811383624893778"/>
                  <c:y val="-3.107366875750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414610255057834E-2"/>
                  <c:y val="6.47014991770096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20092763524178E-2"/>
                  <c:y val="0.1353067307264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8019105267344"/>
                  <c:y val="5.7805062502780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545923386370963E-2"/>
                  <c:y val="-0.10263445882823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031165362702867"/>
                  <c:y val="-8.26002046354375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Обрабатывающее производство</c:v>
                </c:pt>
                <c:pt idx="1">
                  <c:v>Финансовая деятельность</c:v>
                </c:pt>
                <c:pt idx="2">
                  <c:v>Профессиональная,научная и техническая деятельность</c:v>
                </c:pt>
                <c:pt idx="3">
                  <c:v>Обеспечение электроэнергией, газом, паром</c:v>
                </c:pt>
                <c:pt idx="4">
                  <c:v>Добыча полезных</c:v>
                </c:pt>
                <c:pt idx="5">
                  <c:v>Строительство 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30.8</c:v>
                </c:pt>
                <c:pt idx="1">
                  <c:v>22</c:v>
                </c:pt>
                <c:pt idx="2">
                  <c:v>20.3</c:v>
                </c:pt>
                <c:pt idx="3">
                  <c:v>15</c:v>
                </c:pt>
                <c:pt idx="4">
                  <c:v>6.7</c:v>
                </c:pt>
                <c:pt idx="5">
                  <c:v>3.1</c:v>
                </c:pt>
                <c:pt idx="6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694</c:v>
                </c:pt>
                <c:pt idx="1">
                  <c:v>293</c:v>
                </c:pt>
                <c:pt idx="2">
                  <c:v>758</c:v>
                </c:pt>
                <c:pt idx="3">
                  <c:v>248</c:v>
                </c:pt>
                <c:pt idx="4">
                  <c:v>1141</c:v>
                </c:pt>
                <c:pt idx="5">
                  <c:v>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06112"/>
        <c:axId val="117744768"/>
      </c:barChart>
      <c:catAx>
        <c:axId val="11770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44768"/>
        <c:crosses val="autoZero"/>
        <c:auto val="1"/>
        <c:lblAlgn val="ctr"/>
        <c:lblOffset val="100"/>
        <c:noMultiLvlLbl val="0"/>
      </c:catAx>
      <c:valAx>
        <c:axId val="11774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06112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 Жаналиев</dc:creator>
  <cp:keywords/>
  <dc:description/>
  <cp:lastModifiedBy>Мирлан Жаналиев</cp:lastModifiedBy>
  <cp:revision>7</cp:revision>
  <cp:lastPrinted>2017-06-09T02:53:00Z</cp:lastPrinted>
  <dcterms:created xsi:type="dcterms:W3CDTF">2017-03-31T03:52:00Z</dcterms:created>
  <dcterms:modified xsi:type="dcterms:W3CDTF">2017-08-29T08:59:00Z</dcterms:modified>
</cp:coreProperties>
</file>