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AD" w:rsidRPr="00596CBB" w:rsidRDefault="002007AC" w:rsidP="00FD5721">
      <w:pPr>
        <w:pStyle w:val="a4"/>
        <w:spacing w:after="0" w:line="276" w:lineRule="auto"/>
        <w:ind w:firstLine="709"/>
        <w:jc w:val="both"/>
        <w:rPr>
          <w:rFonts w:ascii="Arial" w:hAnsi="Arial" w:cs="Arial"/>
          <w:b/>
          <w:smallCaps/>
          <w:sz w:val="24"/>
          <w:szCs w:val="24"/>
          <w:u w:val="single"/>
        </w:rPr>
      </w:pPr>
      <w:r w:rsidRPr="00596CBB">
        <w:rPr>
          <w:rFonts w:ascii="Arial" w:hAnsi="Arial" w:cs="Arial"/>
          <w:b/>
          <w:smallCaps/>
          <w:sz w:val="24"/>
          <w:szCs w:val="24"/>
          <w:u w:val="single"/>
        </w:rPr>
        <w:t xml:space="preserve">Система </w:t>
      </w:r>
      <w:r w:rsidR="008F4CD1" w:rsidRPr="00596CBB">
        <w:rPr>
          <w:rFonts w:ascii="Arial" w:hAnsi="Arial" w:cs="Arial"/>
          <w:b/>
          <w:smallCaps/>
          <w:sz w:val="24"/>
          <w:szCs w:val="24"/>
          <w:u w:val="single"/>
        </w:rPr>
        <w:t>мониторинга и оценки И</w:t>
      </w:r>
      <w:r w:rsidRPr="00596CBB">
        <w:rPr>
          <w:rFonts w:ascii="Arial" w:hAnsi="Arial" w:cs="Arial"/>
          <w:b/>
          <w:smallCaps/>
          <w:sz w:val="24"/>
          <w:szCs w:val="24"/>
          <w:u w:val="single"/>
        </w:rPr>
        <w:t xml:space="preserve">ндикаторов </w:t>
      </w:r>
      <w:r w:rsidR="008F4CD1" w:rsidRPr="00596CBB">
        <w:rPr>
          <w:rFonts w:ascii="Arial" w:hAnsi="Arial" w:cs="Arial"/>
          <w:b/>
          <w:smallCaps/>
          <w:sz w:val="24"/>
          <w:szCs w:val="24"/>
          <w:u w:val="single"/>
        </w:rPr>
        <w:t>З</w:t>
      </w:r>
      <w:r w:rsidRPr="00596CBB">
        <w:rPr>
          <w:rFonts w:ascii="Arial" w:hAnsi="Arial" w:cs="Arial"/>
          <w:b/>
          <w:smallCaps/>
          <w:sz w:val="24"/>
          <w:szCs w:val="24"/>
          <w:u w:val="single"/>
        </w:rPr>
        <w:t xml:space="preserve">еленого </w:t>
      </w:r>
      <w:r w:rsidR="008F4CD1" w:rsidRPr="00596CBB">
        <w:rPr>
          <w:rFonts w:ascii="Arial" w:hAnsi="Arial" w:cs="Arial"/>
          <w:b/>
          <w:smallCaps/>
          <w:sz w:val="24"/>
          <w:szCs w:val="24"/>
          <w:u w:val="single"/>
        </w:rPr>
        <w:t>Р</w:t>
      </w:r>
      <w:r w:rsidRPr="00596CBB">
        <w:rPr>
          <w:rFonts w:ascii="Arial" w:hAnsi="Arial" w:cs="Arial"/>
          <w:b/>
          <w:smallCaps/>
          <w:sz w:val="24"/>
          <w:szCs w:val="24"/>
          <w:u w:val="single"/>
        </w:rPr>
        <w:t>оста</w:t>
      </w:r>
    </w:p>
    <w:p w:rsidR="00407418" w:rsidRPr="00596CBB" w:rsidRDefault="00407418" w:rsidP="00FD5721">
      <w:pPr>
        <w:spacing w:after="0"/>
        <w:ind w:firstLine="709"/>
        <w:jc w:val="both"/>
        <w:rPr>
          <w:rFonts w:ascii="Arial" w:hAnsi="Arial" w:cs="Arial"/>
          <w:sz w:val="24"/>
          <w:szCs w:val="24"/>
          <w:lang w:bidi="en-US"/>
        </w:rPr>
      </w:pPr>
    </w:p>
    <w:p w:rsidR="000907AC" w:rsidRPr="00596CBB" w:rsidRDefault="000907AC"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Модель устойчивого развития сама по себе предполагает стремление к системности, комплексности и сбалансированности в развитии. Переход к устойчивому развитию предлагает рассматривать экономический рост через призму человеческих ценностей и разумного использования природных ресурсов.</w:t>
      </w:r>
      <w:r w:rsidR="002007AC" w:rsidRPr="00596CBB">
        <w:rPr>
          <w:rFonts w:ascii="Arial" w:hAnsi="Arial" w:cs="Arial"/>
          <w:sz w:val="24"/>
          <w:szCs w:val="24"/>
          <w:lang w:bidi="en-US"/>
        </w:rPr>
        <w:t xml:space="preserve"> </w:t>
      </w:r>
      <w:r w:rsidRPr="00596CBB">
        <w:rPr>
          <w:rFonts w:ascii="Arial" w:hAnsi="Arial" w:cs="Arial"/>
          <w:sz w:val="24"/>
          <w:szCs w:val="24"/>
          <w:lang w:bidi="en-US"/>
        </w:rPr>
        <w:t xml:space="preserve">Подтверждением политического курса Кыргызской Республики на устойчивое развитие стало создание 24 ноября 2012 года Национального Совета по устойчивому развитию при Президенте Кыргызской Республики, который объединил усилия всех ветвей государственной власти, частного сектора и гражданского общества по вопросам будущего развития Кыргызстана. </w:t>
      </w:r>
    </w:p>
    <w:p w:rsidR="000907AC" w:rsidRPr="00596CBB" w:rsidRDefault="000907AC"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 xml:space="preserve">21 января 2013 года по результатам второго заседания Совета Указом Президента была утверждена Национальная стратегия устойчивого развития до 2017 года (НСУР), которая построена на принципах устойчивости и представлена, как «Пятилетка созидания-2017». Для реализации НСУР был разработан проект Программы и Плана  по реализации стратегии. Данный проект документа был одобрен Правительством Кыргызской Республики 30 апреля 2013года. </w:t>
      </w:r>
    </w:p>
    <w:p w:rsidR="000907AC" w:rsidRPr="00596CBB" w:rsidRDefault="000907AC" w:rsidP="00FD5721">
      <w:pPr>
        <w:spacing w:before="120" w:after="0"/>
        <w:ind w:firstLine="709"/>
        <w:jc w:val="both"/>
        <w:rPr>
          <w:rFonts w:ascii="Arial" w:hAnsi="Arial" w:cs="Arial"/>
          <w:b/>
          <w:i/>
          <w:sz w:val="24"/>
          <w:szCs w:val="24"/>
          <w:lang w:bidi="en-US"/>
        </w:rPr>
      </w:pPr>
      <w:r w:rsidRPr="00596CBB">
        <w:rPr>
          <w:rFonts w:ascii="Arial" w:hAnsi="Arial" w:cs="Arial"/>
          <w:sz w:val="24"/>
          <w:szCs w:val="24"/>
          <w:lang w:bidi="en-US"/>
        </w:rPr>
        <w:t xml:space="preserve">Устойчивое развитие — это, прежде всего, процесс постоянных динамических изменений в социально-эколого-экономических направлениях развития. </w:t>
      </w:r>
      <w:r w:rsidRPr="00596CBB">
        <w:rPr>
          <w:rFonts w:ascii="Arial" w:hAnsi="Arial" w:cs="Arial"/>
          <w:b/>
          <w:i/>
          <w:sz w:val="24"/>
          <w:szCs w:val="24"/>
          <w:lang w:bidi="en-US"/>
        </w:rPr>
        <w:t>Концепция устойчивого развития во многом перекликается с «зеленым» ростом, который при этом является не альтернативой устойчивому развитию, а скорее ее составной частью, более узким сегментом.</w:t>
      </w:r>
    </w:p>
    <w:p w:rsidR="000907AC" w:rsidRPr="00596CBB" w:rsidRDefault="000907AC"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Согласно определению Организации экономического сотрудничества и развития (ОЭСР) «зеленый» рост – это модель, направленная на стимулирование экономического роста и развития, сохраняя при этом природный капитал как источник ресурсов и экологических услуг, на которых основывается наше благополучие. Эта модель служит катализатором инвестиций и инноваций, которые являются основой устойчивого экономического роста и новых экономических возможностей.</w:t>
      </w:r>
    </w:p>
    <w:p w:rsidR="000907AC" w:rsidRPr="00596CBB" w:rsidRDefault="000907AC" w:rsidP="00FD5721">
      <w:pPr>
        <w:spacing w:before="120" w:after="0"/>
        <w:ind w:firstLine="709"/>
        <w:jc w:val="both"/>
        <w:rPr>
          <w:rFonts w:ascii="Arial" w:hAnsi="Arial" w:cs="Arial"/>
          <w:b/>
          <w:sz w:val="24"/>
          <w:szCs w:val="24"/>
          <w:lang w:bidi="en-US"/>
        </w:rPr>
      </w:pPr>
      <w:r w:rsidRPr="00596CBB">
        <w:rPr>
          <w:rFonts w:ascii="Arial" w:hAnsi="Arial" w:cs="Arial"/>
          <w:sz w:val="24"/>
          <w:szCs w:val="24"/>
          <w:lang w:bidi="en-US"/>
        </w:rPr>
        <w:t xml:space="preserve">Сегодня, одной из самых важных задач становиться качественное управление посредством эффективных инструментов и своевременное реагирование на изменения в динамике показателей «зеленого» роста. </w:t>
      </w:r>
      <w:r w:rsidRPr="00596CBB">
        <w:rPr>
          <w:rFonts w:ascii="Arial" w:hAnsi="Arial" w:cs="Arial"/>
          <w:b/>
          <w:sz w:val="24"/>
          <w:szCs w:val="24"/>
          <w:lang w:bidi="en-US"/>
        </w:rPr>
        <w:t>Мониторинг и оценка «зеленого» роста является одним из главных управленческих инструментов.</w:t>
      </w:r>
    </w:p>
    <w:p w:rsidR="00866396" w:rsidRPr="00596CBB" w:rsidRDefault="00A22BD8" w:rsidP="00FD5721">
      <w:pPr>
        <w:pStyle w:val="Default"/>
        <w:spacing w:before="120" w:line="276" w:lineRule="auto"/>
        <w:ind w:firstLine="709"/>
        <w:jc w:val="both"/>
        <w:rPr>
          <w:rFonts w:ascii="Arial" w:hAnsi="Arial" w:cs="Arial"/>
          <w:color w:val="auto"/>
          <w:lang w:val="ru-RU"/>
        </w:rPr>
      </w:pPr>
      <w:r w:rsidRPr="00596CBB">
        <w:rPr>
          <w:rFonts w:ascii="Arial" w:hAnsi="Arial" w:cs="Arial"/>
          <w:color w:val="auto"/>
          <w:lang w:val="ru-RU"/>
        </w:rPr>
        <w:t xml:space="preserve">Для разработки эффективной политики в поддержку зеленого роста необходима надежная информация о физических параметрах природного капитала и о том, как он взаимодействует с другими видами капитала. Разрабатывая и используя систему, способную оценивать прогресс в направлении зеленого роста, правительства должны адаптировать соответствующие методологии измерений и обеспечить сбор и анализ качественных данных. </w:t>
      </w:r>
      <w:r w:rsidR="00866396" w:rsidRPr="00596CBB">
        <w:rPr>
          <w:rFonts w:ascii="Arial" w:hAnsi="Arial" w:cs="Arial"/>
          <w:color w:val="auto"/>
          <w:lang w:val="ru-RU"/>
        </w:rPr>
        <w:t xml:space="preserve">Показатели можно рассматривать как измеримую информацию (параметры или </w:t>
      </w:r>
      <w:r w:rsidR="00866396" w:rsidRPr="00596CBB">
        <w:rPr>
          <w:rFonts w:ascii="Arial" w:hAnsi="Arial" w:cs="Arial"/>
          <w:color w:val="auto"/>
          <w:lang w:val="ru-RU"/>
        </w:rPr>
        <w:lastRenderedPageBreak/>
        <w:t>значения, выводимые из параметров), описывающую явление/среду/сферу и имеющую синтетическое значение.</w:t>
      </w:r>
    </w:p>
    <w:p w:rsidR="00757757" w:rsidRPr="00596CBB" w:rsidRDefault="00742304" w:rsidP="00FD5721">
      <w:pPr>
        <w:pStyle w:val="Default"/>
        <w:spacing w:before="120" w:line="276" w:lineRule="auto"/>
        <w:ind w:firstLine="709"/>
        <w:jc w:val="both"/>
        <w:rPr>
          <w:rFonts w:ascii="Arial" w:hAnsi="Arial" w:cs="Arial"/>
          <w:lang w:val="ru-RU"/>
        </w:rPr>
      </w:pPr>
      <w:r w:rsidRPr="00596CBB">
        <w:rPr>
          <w:rFonts w:ascii="Arial" w:hAnsi="Arial" w:cs="Arial"/>
          <w:lang w:val="ru-RU"/>
        </w:rPr>
        <w:t>Распоряжением</w:t>
      </w:r>
      <w:r w:rsidR="00757757" w:rsidRPr="00596CBB">
        <w:rPr>
          <w:rFonts w:ascii="Arial" w:hAnsi="Arial" w:cs="Arial"/>
          <w:lang w:val="ru-RU"/>
        </w:rPr>
        <w:t xml:space="preserve"> Правительства Кыргызской Республики от 19 февраля 2015 года № 48-р,  </w:t>
      </w:r>
      <w:r w:rsidR="00F42819" w:rsidRPr="00596CBB">
        <w:rPr>
          <w:rFonts w:ascii="Arial" w:hAnsi="Arial" w:cs="Arial"/>
          <w:lang w:val="ru-RU"/>
        </w:rPr>
        <w:t xml:space="preserve">утверждена Матрица </w:t>
      </w:r>
      <w:r w:rsidR="00757757" w:rsidRPr="00596CBB">
        <w:rPr>
          <w:rFonts w:ascii="Arial" w:hAnsi="Arial" w:cs="Arial"/>
          <w:lang w:val="ru-RU"/>
        </w:rPr>
        <w:t>по индикаторам мониторинга и оценки прогресса перехода Кыргызской Республики к устойчивому развитию, по итогам 2016 года.</w:t>
      </w:r>
    </w:p>
    <w:p w:rsidR="007E79C7" w:rsidRPr="00596CBB" w:rsidRDefault="007E79C7" w:rsidP="00FD5721">
      <w:pPr>
        <w:pStyle w:val="Default"/>
        <w:spacing w:before="120" w:line="276" w:lineRule="auto"/>
        <w:ind w:firstLine="709"/>
        <w:jc w:val="both"/>
        <w:rPr>
          <w:rFonts w:ascii="Arial" w:hAnsi="Arial" w:cs="Arial"/>
          <w:lang w:val="ru-RU"/>
        </w:rPr>
      </w:pPr>
      <w:r w:rsidRPr="00596CBB">
        <w:rPr>
          <w:rFonts w:ascii="Arial" w:hAnsi="Arial" w:cs="Arial"/>
          <w:lang w:val="ru-RU"/>
        </w:rPr>
        <w:t>Данное распоряжение предусматривает ежегодный мониторинг и составление целевых или ожидаемых показателей индикаторов зеленого роста, в зависимости от характеристики индикатора.</w:t>
      </w:r>
    </w:p>
    <w:p w:rsidR="00757757" w:rsidRPr="00596CBB" w:rsidRDefault="00757757" w:rsidP="00FD5721">
      <w:pPr>
        <w:spacing w:before="120" w:after="0"/>
        <w:ind w:firstLine="709"/>
        <w:jc w:val="both"/>
        <w:rPr>
          <w:rFonts w:ascii="Arial" w:hAnsi="Arial" w:cs="Arial"/>
          <w:sz w:val="24"/>
          <w:szCs w:val="24"/>
        </w:rPr>
      </w:pPr>
      <w:r w:rsidRPr="00596CBB">
        <w:rPr>
          <w:rFonts w:ascii="Arial" w:hAnsi="Arial" w:cs="Arial"/>
          <w:b/>
          <w:sz w:val="24"/>
          <w:szCs w:val="24"/>
        </w:rPr>
        <w:t>Матрица индикаторов мониторинга и оценки прогресса перехода Кыргызской Республики к устойчивому развитию состоит</w:t>
      </w:r>
      <w:r w:rsidRPr="00596CBB">
        <w:rPr>
          <w:rFonts w:ascii="Arial" w:hAnsi="Arial" w:cs="Arial"/>
          <w:sz w:val="24"/>
          <w:szCs w:val="24"/>
        </w:rPr>
        <w:t xml:space="preserve"> из 65-ти индикаторов «зеленого роста», которые сгруппированы в следующие пять блоков:</w:t>
      </w:r>
    </w:p>
    <w:p w:rsidR="00757757" w:rsidRPr="00596CBB" w:rsidRDefault="00757757" w:rsidP="00FD5721">
      <w:pPr>
        <w:pStyle w:val="a6"/>
        <w:numPr>
          <w:ilvl w:val="0"/>
          <w:numId w:val="1"/>
        </w:numPr>
        <w:spacing w:before="120" w:after="0"/>
        <w:ind w:left="0" w:firstLine="709"/>
        <w:contextualSpacing w:val="0"/>
        <w:jc w:val="both"/>
        <w:rPr>
          <w:rFonts w:ascii="Arial" w:hAnsi="Arial" w:cs="Arial"/>
          <w:b/>
          <w:sz w:val="24"/>
          <w:szCs w:val="24"/>
        </w:rPr>
      </w:pPr>
      <w:r w:rsidRPr="00596CBB">
        <w:rPr>
          <w:rFonts w:ascii="Arial" w:hAnsi="Arial" w:cs="Arial"/>
          <w:b/>
          <w:sz w:val="24"/>
          <w:szCs w:val="24"/>
        </w:rPr>
        <w:t>Блок 1. Продуктивность углерода и энергетики.</w:t>
      </w:r>
    </w:p>
    <w:p w:rsidR="00757757" w:rsidRPr="00596CBB" w:rsidRDefault="00757757" w:rsidP="00FD5721">
      <w:pPr>
        <w:pStyle w:val="a6"/>
        <w:numPr>
          <w:ilvl w:val="0"/>
          <w:numId w:val="1"/>
        </w:numPr>
        <w:spacing w:before="120" w:after="0"/>
        <w:ind w:left="0" w:firstLine="709"/>
        <w:contextualSpacing w:val="0"/>
        <w:jc w:val="both"/>
        <w:rPr>
          <w:rFonts w:ascii="Arial" w:hAnsi="Arial" w:cs="Arial"/>
          <w:b/>
          <w:sz w:val="24"/>
          <w:szCs w:val="24"/>
        </w:rPr>
      </w:pPr>
      <w:r w:rsidRPr="00596CBB">
        <w:rPr>
          <w:rFonts w:ascii="Arial" w:hAnsi="Arial" w:cs="Arial"/>
          <w:b/>
          <w:sz w:val="24"/>
          <w:szCs w:val="24"/>
        </w:rPr>
        <w:t>Блок 2. Природные активы.</w:t>
      </w:r>
    </w:p>
    <w:p w:rsidR="00757757" w:rsidRPr="00596CBB" w:rsidRDefault="00757757" w:rsidP="00FD5721">
      <w:pPr>
        <w:pStyle w:val="a6"/>
        <w:numPr>
          <w:ilvl w:val="0"/>
          <w:numId w:val="1"/>
        </w:numPr>
        <w:spacing w:before="120" w:after="0"/>
        <w:ind w:left="0" w:firstLine="709"/>
        <w:contextualSpacing w:val="0"/>
        <w:jc w:val="both"/>
        <w:rPr>
          <w:rFonts w:ascii="Arial" w:hAnsi="Arial" w:cs="Arial"/>
          <w:b/>
          <w:sz w:val="24"/>
          <w:szCs w:val="24"/>
        </w:rPr>
      </w:pPr>
      <w:r w:rsidRPr="00596CBB">
        <w:rPr>
          <w:rFonts w:ascii="Arial" w:hAnsi="Arial" w:cs="Arial"/>
          <w:b/>
          <w:sz w:val="24"/>
          <w:szCs w:val="24"/>
        </w:rPr>
        <w:t>Блок 3. Экологическое качество жизни.</w:t>
      </w:r>
    </w:p>
    <w:p w:rsidR="00757757" w:rsidRPr="00596CBB" w:rsidRDefault="00B951DF" w:rsidP="00FD5721">
      <w:pPr>
        <w:pStyle w:val="a6"/>
        <w:numPr>
          <w:ilvl w:val="0"/>
          <w:numId w:val="1"/>
        </w:numPr>
        <w:spacing w:before="120" w:after="0"/>
        <w:ind w:left="0" w:firstLine="709"/>
        <w:contextualSpacing w:val="0"/>
        <w:jc w:val="both"/>
        <w:rPr>
          <w:rFonts w:ascii="Arial" w:hAnsi="Arial" w:cs="Arial"/>
          <w:b/>
          <w:sz w:val="24"/>
          <w:szCs w:val="24"/>
        </w:rPr>
      </w:pPr>
      <w:r w:rsidRPr="00596CBB">
        <w:rPr>
          <w:rFonts w:ascii="Arial" w:hAnsi="Arial" w:cs="Arial"/>
          <w:b/>
          <w:sz w:val="24"/>
          <w:szCs w:val="24"/>
        </w:rPr>
        <w:t xml:space="preserve">Блок 4. </w:t>
      </w:r>
      <w:r w:rsidR="00757757" w:rsidRPr="00596CBB">
        <w:rPr>
          <w:rFonts w:ascii="Arial" w:hAnsi="Arial" w:cs="Arial"/>
          <w:b/>
          <w:sz w:val="24"/>
          <w:szCs w:val="24"/>
        </w:rPr>
        <w:t>Экономические возможности и политика реагирования.</w:t>
      </w:r>
    </w:p>
    <w:p w:rsidR="00757757" w:rsidRPr="00596CBB" w:rsidRDefault="00757757" w:rsidP="00FD5721">
      <w:pPr>
        <w:pStyle w:val="a6"/>
        <w:numPr>
          <w:ilvl w:val="0"/>
          <w:numId w:val="1"/>
        </w:numPr>
        <w:spacing w:before="120" w:after="0"/>
        <w:ind w:left="0" w:firstLine="709"/>
        <w:contextualSpacing w:val="0"/>
        <w:jc w:val="both"/>
        <w:rPr>
          <w:rFonts w:ascii="Arial" w:hAnsi="Arial" w:cs="Arial"/>
          <w:b/>
          <w:sz w:val="24"/>
          <w:szCs w:val="24"/>
        </w:rPr>
      </w:pPr>
      <w:r w:rsidRPr="00596CBB">
        <w:rPr>
          <w:rFonts w:ascii="Arial" w:hAnsi="Arial" w:cs="Arial"/>
          <w:b/>
          <w:sz w:val="24"/>
          <w:szCs w:val="24"/>
        </w:rPr>
        <w:t>Блок 5. Социально – экономический контекст и характеристика роста.</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b/>
          <w:sz w:val="24"/>
          <w:szCs w:val="24"/>
          <w:lang w:bidi="en-US"/>
        </w:rPr>
        <w:t xml:space="preserve">Главная цель </w:t>
      </w:r>
      <w:r w:rsidRPr="00596CBB">
        <w:rPr>
          <w:rFonts w:ascii="Arial" w:hAnsi="Arial" w:cs="Arial"/>
          <w:sz w:val="24"/>
          <w:szCs w:val="24"/>
          <w:lang w:bidi="en-US"/>
        </w:rPr>
        <w:t>функционирования системы мониторинга и оценки индикаторов «зеленого» роста Кыргызской Республики состоит в обеспечении органов государственного управления полной, своевременной и достоверной информацией об изменениях в социально-эколого-экономической сферах для оперативного реагирования и своевременного принятия решений.</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 xml:space="preserve">С учетом результатов мониторинга и оценки можно будет принимать обоснованные решения о распределении и перераспределении финансовых ресурсов, включая бюджетные средства, и корректировать ежегодные планы Правительства Кыргызской Республики по реализации </w:t>
      </w:r>
      <w:r w:rsidR="002007AC" w:rsidRPr="00596CBB">
        <w:rPr>
          <w:rFonts w:ascii="Arial" w:hAnsi="Arial" w:cs="Arial"/>
          <w:sz w:val="24"/>
          <w:szCs w:val="24"/>
          <w:lang w:bidi="en-US"/>
        </w:rPr>
        <w:t>национальных стратегических документов.</w:t>
      </w:r>
      <w:r w:rsidRPr="00596CBB">
        <w:rPr>
          <w:rFonts w:ascii="Arial" w:hAnsi="Arial" w:cs="Arial"/>
          <w:sz w:val="24"/>
          <w:szCs w:val="24"/>
          <w:lang w:bidi="en-US"/>
        </w:rPr>
        <w:t xml:space="preserve"> Следствием этого станет повышение эффективности управления процессом реализации стратегии, в том числе, эффективное размещение финансовых ресурсов на цели устойчивого развития.</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b/>
          <w:i/>
          <w:sz w:val="24"/>
          <w:szCs w:val="24"/>
          <w:lang w:bidi="en-US"/>
        </w:rPr>
        <w:t>Благоприятными предпосылками</w:t>
      </w:r>
      <w:r w:rsidRPr="00596CBB">
        <w:rPr>
          <w:rFonts w:ascii="Arial" w:hAnsi="Arial" w:cs="Arial"/>
          <w:sz w:val="24"/>
          <w:szCs w:val="24"/>
          <w:lang w:bidi="en-US"/>
        </w:rPr>
        <w:t xml:space="preserve"> для проведения мониторинга и оценки индикаторов «зеленого» роста Кыргызской Республики являются: (i) объявленный политический курс страны на устойчивое развитие; (</w:t>
      </w:r>
      <w:proofErr w:type="spellStart"/>
      <w:r w:rsidRPr="00596CBB">
        <w:rPr>
          <w:rFonts w:ascii="Arial" w:hAnsi="Arial" w:cs="Arial"/>
          <w:sz w:val="24"/>
          <w:szCs w:val="24"/>
          <w:lang w:bidi="en-US"/>
        </w:rPr>
        <w:t>ii</w:t>
      </w:r>
      <w:proofErr w:type="spellEnd"/>
      <w:r w:rsidRPr="00596CBB">
        <w:rPr>
          <w:rFonts w:ascii="Arial" w:hAnsi="Arial" w:cs="Arial"/>
          <w:sz w:val="24"/>
          <w:szCs w:val="24"/>
          <w:lang w:bidi="en-US"/>
        </w:rPr>
        <w:t xml:space="preserve">) наличие координационного механизма по продвижению инициатив устойчивого развития, это Национальный Совет по устойчивому развитию </w:t>
      </w:r>
      <w:proofErr w:type="gramStart"/>
      <w:r w:rsidRPr="00596CBB">
        <w:rPr>
          <w:rFonts w:ascii="Arial" w:hAnsi="Arial" w:cs="Arial"/>
          <w:sz w:val="24"/>
          <w:szCs w:val="24"/>
          <w:lang w:bidi="en-US"/>
        </w:rPr>
        <w:t>КР</w:t>
      </w:r>
      <w:proofErr w:type="gramEnd"/>
      <w:r w:rsidRPr="00596CBB">
        <w:rPr>
          <w:rFonts w:ascii="Arial" w:hAnsi="Arial" w:cs="Arial"/>
          <w:sz w:val="24"/>
          <w:szCs w:val="24"/>
          <w:lang w:bidi="en-US"/>
        </w:rPr>
        <w:t>; (</w:t>
      </w:r>
      <w:proofErr w:type="spellStart"/>
      <w:r w:rsidRPr="00596CBB">
        <w:rPr>
          <w:rFonts w:ascii="Arial" w:hAnsi="Arial" w:cs="Arial"/>
          <w:sz w:val="24"/>
          <w:szCs w:val="24"/>
          <w:lang w:bidi="en-US"/>
        </w:rPr>
        <w:t>iii</w:t>
      </w:r>
      <w:proofErr w:type="spellEnd"/>
      <w:r w:rsidRPr="00596CBB">
        <w:rPr>
          <w:rFonts w:ascii="Arial" w:hAnsi="Arial" w:cs="Arial"/>
          <w:sz w:val="24"/>
          <w:szCs w:val="24"/>
          <w:lang w:bidi="en-US"/>
        </w:rPr>
        <w:t>) заинтересованность и поддержка международных донорских организаций; (</w:t>
      </w:r>
      <w:proofErr w:type="spellStart"/>
      <w:r w:rsidRPr="00596CBB">
        <w:rPr>
          <w:rFonts w:ascii="Arial" w:hAnsi="Arial" w:cs="Arial"/>
          <w:sz w:val="24"/>
          <w:szCs w:val="24"/>
          <w:lang w:bidi="en-US"/>
        </w:rPr>
        <w:t>iv</w:t>
      </w:r>
      <w:proofErr w:type="spellEnd"/>
      <w:r w:rsidRPr="00596CBB">
        <w:rPr>
          <w:rFonts w:ascii="Arial" w:hAnsi="Arial" w:cs="Arial"/>
          <w:sz w:val="24"/>
          <w:szCs w:val="24"/>
          <w:lang w:bidi="en-US"/>
        </w:rPr>
        <w:t>) высокий потенциал Национального статистического комитета КР; (v) наличие достоверных данных по ряду индикаторов в министерствах и ведомствах, в регионах; (</w:t>
      </w:r>
      <w:proofErr w:type="spellStart"/>
      <w:r w:rsidRPr="00596CBB">
        <w:rPr>
          <w:rFonts w:ascii="Arial" w:hAnsi="Arial" w:cs="Arial"/>
          <w:sz w:val="24"/>
          <w:szCs w:val="24"/>
          <w:lang w:bidi="en-US"/>
        </w:rPr>
        <w:t>vi</w:t>
      </w:r>
      <w:proofErr w:type="spellEnd"/>
      <w:r w:rsidRPr="00596CBB">
        <w:rPr>
          <w:rFonts w:ascii="Arial" w:hAnsi="Arial" w:cs="Arial"/>
          <w:sz w:val="24"/>
          <w:szCs w:val="24"/>
          <w:lang w:bidi="en-US"/>
        </w:rPr>
        <w:t>) вовлеченность в процесс ключевых государственных структур; (</w:t>
      </w:r>
      <w:proofErr w:type="spellStart"/>
      <w:r w:rsidRPr="00596CBB">
        <w:rPr>
          <w:rFonts w:ascii="Arial" w:hAnsi="Arial" w:cs="Arial"/>
          <w:sz w:val="24"/>
          <w:szCs w:val="24"/>
          <w:lang w:bidi="en-US"/>
        </w:rPr>
        <w:t>vii</w:t>
      </w:r>
      <w:proofErr w:type="spellEnd"/>
      <w:r w:rsidRPr="00596CBB">
        <w:rPr>
          <w:rFonts w:ascii="Arial" w:hAnsi="Arial" w:cs="Arial"/>
          <w:sz w:val="24"/>
          <w:szCs w:val="24"/>
          <w:lang w:bidi="en-US"/>
        </w:rPr>
        <w:t>) готовность к взаимодействию неправительственных организаций.</w:t>
      </w:r>
    </w:p>
    <w:p w:rsidR="00FE47A2" w:rsidRPr="00596CBB" w:rsidRDefault="00FE47A2" w:rsidP="00FD5721">
      <w:pPr>
        <w:spacing w:before="120" w:after="0"/>
        <w:ind w:firstLine="709"/>
        <w:jc w:val="both"/>
        <w:rPr>
          <w:rFonts w:ascii="Arial" w:hAnsi="Arial" w:cs="Arial"/>
          <w:b/>
          <w:sz w:val="24"/>
          <w:szCs w:val="24"/>
          <w:lang w:bidi="en-US"/>
        </w:rPr>
      </w:pPr>
      <w:r w:rsidRPr="00596CBB">
        <w:rPr>
          <w:rFonts w:ascii="Arial" w:hAnsi="Arial" w:cs="Arial"/>
          <w:b/>
          <w:sz w:val="24"/>
          <w:szCs w:val="24"/>
          <w:lang w:bidi="en-US"/>
        </w:rPr>
        <w:lastRenderedPageBreak/>
        <w:t>Индикаторы мониторинга и оценки «зеленого» роста должны выполнять следующие функции:</w:t>
      </w:r>
    </w:p>
    <w:p w:rsidR="00FE47A2" w:rsidRPr="00596CBB" w:rsidRDefault="00FE47A2" w:rsidP="00FD5721">
      <w:pPr>
        <w:pStyle w:val="a6"/>
        <w:numPr>
          <w:ilvl w:val="0"/>
          <w:numId w:val="12"/>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 xml:space="preserve">Обеспечивать информационную основу для оценки изменения их динамики. Индикаторы дают возможность осуществлять измерение, мониторинг, оценку эффективности движения по направлению к достижению «зеленого» роста и, в случае необходимости, корректировать общую политику таким образом, чтобы направить развитие в нужное русло, обеспечивающее его устойчивость. Это также дает возможность передачи ответственности за достижение определенных целевых показателей различным ведомствам (например, показателей состояния здоровья или занятости населения) и даже в определённой степени осуществлять оценку </w:t>
      </w:r>
      <w:proofErr w:type="gramStart"/>
      <w:r w:rsidRPr="00596CBB">
        <w:rPr>
          <w:rFonts w:ascii="Arial" w:hAnsi="Arial" w:cs="Arial"/>
          <w:sz w:val="24"/>
          <w:szCs w:val="24"/>
          <w:lang w:bidi="en-US"/>
        </w:rPr>
        <w:t>эффективности деятельности определенных элементов структуры государственного управления</w:t>
      </w:r>
      <w:proofErr w:type="gramEnd"/>
      <w:r w:rsidRPr="00596CBB">
        <w:rPr>
          <w:rFonts w:ascii="Arial" w:hAnsi="Arial" w:cs="Arial"/>
          <w:sz w:val="24"/>
          <w:szCs w:val="24"/>
          <w:lang w:bidi="en-US"/>
        </w:rPr>
        <w:t xml:space="preserve"> по достижению определенных целей политики.</w:t>
      </w:r>
    </w:p>
    <w:p w:rsidR="00FE47A2" w:rsidRPr="00596CBB" w:rsidRDefault="00FE47A2" w:rsidP="00FD5721">
      <w:pPr>
        <w:pStyle w:val="a6"/>
        <w:numPr>
          <w:ilvl w:val="0"/>
          <w:numId w:val="12"/>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 xml:space="preserve">Индикаторы могут использоваться для обеспечения информационной поддержки процессов планирования и принятия решений. </w:t>
      </w:r>
    </w:p>
    <w:p w:rsidR="00FE47A2" w:rsidRPr="00596CBB" w:rsidRDefault="00FE47A2" w:rsidP="00FD5721">
      <w:pPr>
        <w:pStyle w:val="a6"/>
        <w:numPr>
          <w:ilvl w:val="0"/>
          <w:numId w:val="12"/>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 xml:space="preserve">Обеспечивать информирование широкой общественности о фактических результатах движения к «зеленому» росту в четкой и доступной форме, способной стимулировать необходимые изменения в поведении населения. </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b/>
          <w:sz w:val="24"/>
          <w:szCs w:val="24"/>
          <w:lang w:bidi="en-US"/>
        </w:rPr>
        <w:t>Ключевыми функциями в целом системы мониторинга и оценки</w:t>
      </w:r>
      <w:r w:rsidRPr="00596CBB">
        <w:rPr>
          <w:rFonts w:ascii="Arial" w:hAnsi="Arial" w:cs="Arial"/>
          <w:sz w:val="24"/>
          <w:szCs w:val="24"/>
          <w:lang w:bidi="en-US"/>
        </w:rPr>
        <w:t>, как инструмента управления вопросами устойчивого развития, являются:</w:t>
      </w:r>
    </w:p>
    <w:p w:rsidR="00FE47A2" w:rsidRPr="00596CBB" w:rsidRDefault="00FE47A2" w:rsidP="00FD5721">
      <w:pPr>
        <w:pStyle w:val="a6"/>
        <w:numPr>
          <w:ilvl w:val="0"/>
          <w:numId w:val="23"/>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Измерение прогресса в достижении «зеленого» роста;</w:t>
      </w:r>
    </w:p>
    <w:p w:rsidR="00FE47A2" w:rsidRPr="00596CBB" w:rsidRDefault="00FE47A2" w:rsidP="00FD5721">
      <w:pPr>
        <w:pStyle w:val="a6"/>
        <w:numPr>
          <w:ilvl w:val="0"/>
          <w:numId w:val="23"/>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Превентивное (своевременное) предотвращение:</w:t>
      </w:r>
    </w:p>
    <w:p w:rsidR="00FE47A2" w:rsidRPr="00596CBB" w:rsidRDefault="00FE47A2" w:rsidP="00FD5721">
      <w:pPr>
        <w:pStyle w:val="a6"/>
        <w:numPr>
          <w:ilvl w:val="0"/>
          <w:numId w:val="13"/>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любых отрицательных последствий (рисков и шоков);</w:t>
      </w:r>
    </w:p>
    <w:p w:rsidR="00FE47A2" w:rsidRPr="00596CBB" w:rsidRDefault="00FE47A2" w:rsidP="00FD5721">
      <w:pPr>
        <w:pStyle w:val="a6"/>
        <w:numPr>
          <w:ilvl w:val="0"/>
          <w:numId w:val="13"/>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неадекватных решений и действий;</w:t>
      </w:r>
    </w:p>
    <w:p w:rsidR="00FE47A2" w:rsidRPr="00596CBB" w:rsidRDefault="00FE47A2" w:rsidP="00FD5721">
      <w:pPr>
        <w:pStyle w:val="a6"/>
        <w:numPr>
          <w:ilvl w:val="0"/>
          <w:numId w:val="23"/>
        </w:numPr>
        <w:spacing w:before="120" w:after="0"/>
        <w:ind w:left="0" w:firstLine="709"/>
        <w:contextualSpacing w:val="0"/>
        <w:jc w:val="both"/>
        <w:rPr>
          <w:rFonts w:ascii="Arial" w:hAnsi="Arial" w:cs="Arial"/>
          <w:sz w:val="24"/>
          <w:szCs w:val="24"/>
          <w:lang w:bidi="en-US"/>
        </w:rPr>
      </w:pPr>
      <w:r w:rsidRPr="00596CBB">
        <w:rPr>
          <w:rFonts w:ascii="Arial" w:hAnsi="Arial" w:cs="Arial"/>
          <w:sz w:val="24"/>
          <w:szCs w:val="24"/>
          <w:lang w:bidi="en-US"/>
        </w:rPr>
        <w:t>Оценка их воздействия на развитие страны.</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Индикаторы «зеленого» роста Кыргызской Республики разработаны на трёх уровнях: (i) национальные; (</w:t>
      </w:r>
      <w:proofErr w:type="spellStart"/>
      <w:r w:rsidRPr="00596CBB">
        <w:rPr>
          <w:rFonts w:ascii="Arial" w:hAnsi="Arial" w:cs="Arial"/>
          <w:sz w:val="24"/>
          <w:szCs w:val="24"/>
          <w:lang w:bidi="en-US"/>
        </w:rPr>
        <w:t>ii</w:t>
      </w:r>
      <w:proofErr w:type="spellEnd"/>
      <w:r w:rsidRPr="00596CBB">
        <w:rPr>
          <w:rFonts w:ascii="Arial" w:hAnsi="Arial" w:cs="Arial"/>
          <w:sz w:val="24"/>
          <w:szCs w:val="24"/>
          <w:lang w:bidi="en-US"/>
        </w:rPr>
        <w:t>) региональные; (</w:t>
      </w:r>
      <w:proofErr w:type="spellStart"/>
      <w:r w:rsidRPr="00596CBB">
        <w:rPr>
          <w:rFonts w:ascii="Arial" w:hAnsi="Arial" w:cs="Arial"/>
          <w:sz w:val="24"/>
          <w:szCs w:val="24"/>
          <w:lang w:bidi="en-US"/>
        </w:rPr>
        <w:t>iii</w:t>
      </w:r>
      <w:proofErr w:type="spellEnd"/>
      <w:r w:rsidRPr="00596CBB">
        <w:rPr>
          <w:rFonts w:ascii="Arial" w:hAnsi="Arial" w:cs="Arial"/>
          <w:sz w:val="24"/>
          <w:szCs w:val="24"/>
          <w:lang w:bidi="en-US"/>
        </w:rPr>
        <w:t>) местные.</w:t>
      </w:r>
    </w:p>
    <w:p w:rsidR="00FE47A2" w:rsidRPr="00596CBB" w:rsidRDefault="00FE47A2" w:rsidP="00FD5721">
      <w:pPr>
        <w:spacing w:before="120" w:after="0"/>
        <w:ind w:firstLine="709"/>
        <w:jc w:val="both"/>
        <w:rPr>
          <w:rFonts w:ascii="Arial" w:hAnsi="Arial" w:cs="Arial"/>
          <w:sz w:val="24"/>
          <w:szCs w:val="24"/>
          <w:lang w:bidi="en-US"/>
        </w:rPr>
      </w:pPr>
      <w:r w:rsidRPr="00596CBB">
        <w:rPr>
          <w:rFonts w:ascii="Arial" w:hAnsi="Arial" w:cs="Arial"/>
          <w:sz w:val="24"/>
          <w:szCs w:val="24"/>
          <w:lang w:bidi="en-US"/>
        </w:rPr>
        <w:t xml:space="preserve">Помимо этого, имеются «сквозные» индикаторы, которые применимы для любого уровня. К числу таких индикаторов принадлежат многие социальные и экологические показатели, по которым имеется статистика для всех уровней: это, например, показатели, связанные с безработицей, образованием, </w:t>
      </w:r>
      <w:r w:rsidR="005137C2">
        <w:rPr>
          <w:rFonts w:ascii="Arial" w:hAnsi="Arial" w:cs="Arial"/>
          <w:sz w:val="24"/>
          <w:szCs w:val="24"/>
          <w:lang w:bidi="en-US"/>
        </w:rPr>
        <w:t>охраняемыми территориями.</w:t>
      </w:r>
    </w:p>
    <w:p w:rsidR="00FE47A2" w:rsidRPr="00596CBB" w:rsidRDefault="00596CBB" w:rsidP="00FD5721">
      <w:pPr>
        <w:spacing w:before="120" w:after="0"/>
        <w:ind w:firstLine="709"/>
        <w:jc w:val="both"/>
        <w:rPr>
          <w:rFonts w:ascii="Arial" w:hAnsi="Arial" w:cs="Arial"/>
          <w:sz w:val="24"/>
          <w:szCs w:val="24"/>
          <w:lang w:bidi="en-US"/>
        </w:rPr>
      </w:pPr>
      <w:r w:rsidRPr="00596CBB">
        <w:rPr>
          <w:rFonts w:ascii="Arial" w:hAnsi="Arial" w:cs="Arial"/>
          <w:i/>
          <w:noProof/>
          <w:sz w:val="24"/>
          <w:szCs w:val="24"/>
          <w:lang w:eastAsia="ru-RU"/>
        </w:rPr>
        <w:lastRenderedPageBreak/>
        <mc:AlternateContent>
          <mc:Choice Requires="wpg">
            <w:drawing>
              <wp:anchor distT="0" distB="0" distL="114300" distR="114300" simplePos="0" relativeHeight="251660288" behindDoc="0" locked="0" layoutInCell="1" allowOverlap="1" wp14:anchorId="1909243D" wp14:editId="0EC00830">
                <wp:simplePos x="0" y="0"/>
                <wp:positionH relativeFrom="column">
                  <wp:posOffset>78105</wp:posOffset>
                </wp:positionH>
                <wp:positionV relativeFrom="paragraph">
                  <wp:posOffset>1062990</wp:posOffset>
                </wp:positionV>
                <wp:extent cx="5760720" cy="3680460"/>
                <wp:effectExtent l="0" t="0" r="11430" b="1524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80460"/>
                          <a:chOff x="1703" y="1369"/>
                          <a:chExt cx="8965" cy="7423"/>
                        </a:xfrm>
                      </wpg:grpSpPr>
                      <wps:wsp>
                        <wps:cNvPr id="2" name="AutoShape 5"/>
                        <wps:cNvCnPr>
                          <a:cxnSpLocks noChangeShapeType="1"/>
                        </wps:cNvCnPr>
                        <wps:spPr bwMode="auto">
                          <a:xfrm>
                            <a:off x="2689" y="2177"/>
                            <a:ext cx="0" cy="368"/>
                          </a:xfrm>
                          <a:prstGeom prst="straightConnector1">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flipV="1">
                            <a:off x="3143" y="2180"/>
                            <a:ext cx="0" cy="36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Поле 1"/>
                        <wps:cNvSpPr txBox="1">
                          <a:spLocks noChangeArrowheads="1"/>
                        </wps:cNvSpPr>
                        <wps:spPr bwMode="auto">
                          <a:xfrm>
                            <a:off x="6105" y="1633"/>
                            <a:ext cx="4117" cy="1288"/>
                          </a:xfrm>
                          <a:prstGeom prst="rect">
                            <a:avLst/>
                          </a:prstGeom>
                          <a:solidFill>
                            <a:schemeClr val="lt1">
                              <a:lumMod val="100000"/>
                              <a:lumOff val="0"/>
                            </a:schemeClr>
                          </a:solidFill>
                          <a:ln w="6350">
                            <a:solidFill>
                              <a:srgbClr val="000000"/>
                            </a:solidFill>
                            <a:miter lim="800000"/>
                            <a:headEnd/>
                            <a:tailEnd/>
                          </a:ln>
                        </wps:spPr>
                        <wps:txbx>
                          <w:txbxContent>
                            <w:p w:rsidR="00FE47A2" w:rsidRPr="00407418" w:rsidRDefault="00407418" w:rsidP="00407418">
                              <w:pPr>
                                <w:spacing w:after="0"/>
                                <w:jc w:val="center"/>
                                <w:rPr>
                                  <w:rFonts w:ascii="Times New Roman" w:hAnsi="Times New Roman" w:cs="Times New Roman"/>
                                  <w:b/>
                                </w:rPr>
                              </w:pPr>
                              <w:r w:rsidRPr="00407418">
                                <w:rPr>
                                  <w:rFonts w:ascii="Times New Roman" w:hAnsi="Times New Roman" w:cs="Times New Roman"/>
                                  <w:b/>
                                </w:rPr>
                                <w:t xml:space="preserve">Министерство экономики </w:t>
                              </w:r>
                            </w:p>
                            <w:p w:rsidR="00407418" w:rsidRPr="00407418" w:rsidRDefault="00407418" w:rsidP="00407418">
                              <w:pPr>
                                <w:spacing w:after="0"/>
                                <w:jc w:val="center"/>
                                <w:rPr>
                                  <w:rFonts w:ascii="Times New Roman" w:hAnsi="Times New Roman" w:cs="Times New Roman"/>
                                  <w:b/>
                                </w:rPr>
                              </w:pPr>
                              <w:r w:rsidRPr="00407418">
                                <w:rPr>
                                  <w:rFonts w:ascii="Times New Roman" w:hAnsi="Times New Roman" w:cs="Times New Roman"/>
                                  <w:b/>
                                </w:rPr>
                                <w:t xml:space="preserve">Кыргызской Республики </w:t>
                              </w:r>
                            </w:p>
                          </w:txbxContent>
                        </wps:txbx>
                        <wps:bodyPr rot="0" vert="horz" wrap="square" lIns="91440" tIns="45720" rIns="91440" bIns="45720" anchor="ctr" anchorCtr="0" upright="1">
                          <a:noAutofit/>
                        </wps:bodyPr>
                      </wps:wsp>
                      <wps:wsp>
                        <wps:cNvPr id="5" name="Поле 3"/>
                        <wps:cNvSpPr txBox="1">
                          <a:spLocks noChangeArrowheads="1"/>
                        </wps:cNvSpPr>
                        <wps:spPr bwMode="auto">
                          <a:xfrm>
                            <a:off x="1814" y="4371"/>
                            <a:ext cx="1429" cy="1642"/>
                          </a:xfrm>
                          <a:prstGeom prst="rect">
                            <a:avLst/>
                          </a:prstGeom>
                          <a:solidFill>
                            <a:schemeClr val="lt1">
                              <a:lumMod val="100000"/>
                              <a:lumOff val="0"/>
                            </a:schemeClr>
                          </a:solidFill>
                          <a:ln w="6350">
                            <a:solidFill>
                              <a:schemeClr val="accent3">
                                <a:lumMod val="75000"/>
                                <a:lumOff val="0"/>
                              </a:schemeClr>
                            </a:solidFill>
                            <a:miter lim="800000"/>
                            <a:headEnd/>
                            <a:tailEnd/>
                          </a:ln>
                        </wps:spPr>
                        <wps:txb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1. Продуктивность углерода и энергетики</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(9 индикаторов)</w:t>
                              </w:r>
                            </w:p>
                          </w:txbxContent>
                        </wps:txbx>
                        <wps:bodyPr rot="0" vert="horz" wrap="square" lIns="91440" tIns="45720" rIns="91440" bIns="45720" anchor="t" anchorCtr="0" upright="1">
                          <a:noAutofit/>
                        </wps:bodyPr>
                      </wps:wsp>
                      <wps:wsp>
                        <wps:cNvPr id="6" name="Поле 5"/>
                        <wps:cNvSpPr txBox="1">
                          <a:spLocks noChangeArrowheads="1"/>
                        </wps:cNvSpPr>
                        <wps:spPr bwMode="auto">
                          <a:xfrm>
                            <a:off x="3346" y="4371"/>
                            <a:ext cx="1410" cy="1642"/>
                          </a:xfrm>
                          <a:prstGeom prst="rect">
                            <a:avLst/>
                          </a:prstGeom>
                          <a:solidFill>
                            <a:schemeClr val="lt1">
                              <a:lumMod val="100000"/>
                              <a:lumOff val="0"/>
                            </a:schemeClr>
                          </a:solidFill>
                          <a:ln w="6350">
                            <a:solidFill>
                              <a:schemeClr val="accent2">
                                <a:lumMod val="75000"/>
                                <a:lumOff val="0"/>
                              </a:schemeClr>
                            </a:solidFill>
                            <a:miter lim="800000"/>
                            <a:headEnd/>
                            <a:tailEnd/>
                          </a:ln>
                        </wps:spPr>
                        <wps:txb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2. Природные активы</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(5 индикаторов)</w:t>
                              </w:r>
                            </w:p>
                          </w:txbxContent>
                        </wps:txbx>
                        <wps:bodyPr rot="0" vert="horz" wrap="square" lIns="91440" tIns="45720" rIns="91440" bIns="45720" anchor="t" anchorCtr="0" upright="1">
                          <a:noAutofit/>
                        </wps:bodyPr>
                      </wps:wsp>
                      <wps:wsp>
                        <wps:cNvPr id="8" name="Поле 8"/>
                        <wps:cNvSpPr txBox="1">
                          <a:spLocks noChangeArrowheads="1"/>
                        </wps:cNvSpPr>
                        <wps:spPr bwMode="auto">
                          <a:xfrm>
                            <a:off x="4847" y="4371"/>
                            <a:ext cx="1470" cy="1642"/>
                          </a:xfrm>
                          <a:prstGeom prst="rect">
                            <a:avLst/>
                          </a:prstGeom>
                          <a:solidFill>
                            <a:schemeClr val="lt1">
                              <a:lumMod val="100000"/>
                              <a:lumOff val="0"/>
                            </a:schemeClr>
                          </a:solidFill>
                          <a:ln w="6350">
                            <a:solidFill>
                              <a:schemeClr val="accent6">
                                <a:lumMod val="75000"/>
                                <a:lumOff val="0"/>
                              </a:schemeClr>
                            </a:solidFill>
                            <a:miter lim="800000"/>
                            <a:headEnd/>
                            <a:tailEnd/>
                          </a:ln>
                        </wps:spPr>
                        <wps:txb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4. Экономические возможности и политика реагирования</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(4 индикатора)</w:t>
                              </w:r>
                            </w:p>
                          </w:txbxContent>
                        </wps:txbx>
                        <wps:bodyPr rot="0" vert="horz" wrap="square" lIns="91440" tIns="45720" rIns="91440" bIns="45720" anchor="t" anchorCtr="0" upright="1">
                          <a:noAutofit/>
                        </wps:bodyPr>
                      </wps:wsp>
                      <wps:wsp>
                        <wps:cNvPr id="9" name="Поле 9"/>
                        <wps:cNvSpPr txBox="1">
                          <a:spLocks noChangeArrowheads="1"/>
                        </wps:cNvSpPr>
                        <wps:spPr bwMode="auto">
                          <a:xfrm>
                            <a:off x="1814" y="6094"/>
                            <a:ext cx="1429" cy="953"/>
                          </a:xfrm>
                          <a:prstGeom prst="rect">
                            <a:avLst/>
                          </a:prstGeom>
                          <a:solidFill>
                            <a:schemeClr val="lt1">
                              <a:lumMod val="100000"/>
                              <a:lumOff val="0"/>
                            </a:schemeClr>
                          </a:solidFill>
                          <a:ln w="6350">
                            <a:solidFill>
                              <a:schemeClr val="accent3">
                                <a:lumMod val="75000"/>
                                <a:lumOff val="0"/>
                              </a:schemeClr>
                            </a:solidFill>
                            <a:miter lim="800000"/>
                            <a:headEnd/>
                            <a:tailEnd/>
                          </a:ln>
                        </wps:spPr>
                        <wps:txbx>
                          <w:txbxContent>
                            <w:p w:rsidR="00FE47A2" w:rsidRDefault="00FE47A2" w:rsidP="00FE47A2">
                              <w:pPr>
                                <w:jc w:val="center"/>
                                <w:rPr>
                                  <w:sz w:val="18"/>
                                  <w:szCs w:val="18"/>
                                </w:rPr>
                              </w:pPr>
                              <w:proofErr w:type="spellStart"/>
                              <w:r>
                                <w:rPr>
                                  <w:sz w:val="18"/>
                                  <w:szCs w:val="18"/>
                                </w:rPr>
                                <w:t>МСХиМ</w:t>
                              </w:r>
                              <w:r w:rsidR="00865873">
                                <w:rPr>
                                  <w:sz w:val="18"/>
                                  <w:szCs w:val="18"/>
                                </w:rPr>
                                <w:t>ПП</w:t>
                              </w:r>
                              <w:proofErr w:type="spellEnd"/>
                              <w:r>
                                <w:rPr>
                                  <w:sz w:val="18"/>
                                  <w:szCs w:val="18"/>
                                </w:rPr>
                                <w:t xml:space="preserve"> (8)</w:t>
                              </w:r>
                            </w:p>
                            <w:p w:rsidR="00FE47A2" w:rsidRPr="001C2FA1" w:rsidRDefault="00FE47A2" w:rsidP="00FE47A2">
                              <w:pPr>
                                <w:jc w:val="center"/>
                                <w:rPr>
                                  <w:sz w:val="18"/>
                                  <w:szCs w:val="18"/>
                                </w:rPr>
                              </w:pPr>
                              <w:proofErr w:type="spellStart"/>
                              <w:r>
                                <w:rPr>
                                  <w:sz w:val="18"/>
                                  <w:szCs w:val="18"/>
                                </w:rPr>
                                <w:t>ГАСиРР</w:t>
                              </w:r>
                              <w:proofErr w:type="spellEnd"/>
                              <w:r>
                                <w:rPr>
                                  <w:sz w:val="18"/>
                                  <w:szCs w:val="18"/>
                                </w:rPr>
                                <w:t xml:space="preserve"> (1)</w:t>
                              </w:r>
                            </w:p>
                          </w:txbxContent>
                        </wps:txbx>
                        <wps:bodyPr rot="0" vert="horz" wrap="square" lIns="91440" tIns="45720" rIns="91440" bIns="45720" anchor="t" anchorCtr="0" upright="1">
                          <a:noAutofit/>
                        </wps:bodyPr>
                      </wps:wsp>
                      <wps:wsp>
                        <wps:cNvPr id="10" name="Поле 10"/>
                        <wps:cNvSpPr txBox="1">
                          <a:spLocks noChangeArrowheads="1"/>
                        </wps:cNvSpPr>
                        <wps:spPr bwMode="auto">
                          <a:xfrm>
                            <a:off x="3346" y="6094"/>
                            <a:ext cx="1390" cy="953"/>
                          </a:xfrm>
                          <a:prstGeom prst="rect">
                            <a:avLst/>
                          </a:prstGeom>
                          <a:solidFill>
                            <a:schemeClr val="lt1">
                              <a:lumMod val="100000"/>
                              <a:lumOff val="0"/>
                            </a:schemeClr>
                          </a:solidFill>
                          <a:ln w="6350">
                            <a:solidFill>
                              <a:schemeClr val="accent2">
                                <a:lumMod val="75000"/>
                                <a:lumOff val="0"/>
                              </a:schemeClr>
                            </a:solidFill>
                            <a:miter lim="800000"/>
                            <a:headEnd/>
                            <a:tailEnd/>
                          </a:ln>
                        </wps:spPr>
                        <wps:txbx>
                          <w:txbxContent>
                            <w:p w:rsidR="00FE47A2" w:rsidRDefault="00407418" w:rsidP="00FE47A2">
                              <w:pPr>
                                <w:jc w:val="center"/>
                                <w:rPr>
                                  <w:sz w:val="18"/>
                                  <w:szCs w:val="18"/>
                                </w:rPr>
                              </w:pPr>
                              <w:r>
                                <w:rPr>
                                  <w:sz w:val="18"/>
                                  <w:szCs w:val="18"/>
                                </w:rPr>
                                <w:t>ГКПЭН</w:t>
                              </w:r>
                              <w:r w:rsidR="00FE47A2">
                                <w:rPr>
                                  <w:sz w:val="18"/>
                                  <w:szCs w:val="18"/>
                                </w:rPr>
                                <w:t xml:space="preserve"> (3)</w:t>
                              </w:r>
                            </w:p>
                            <w:p w:rsidR="00FE47A2" w:rsidRPr="001C2FA1" w:rsidRDefault="00FE47A2" w:rsidP="00FE47A2">
                              <w:pPr>
                                <w:jc w:val="center"/>
                                <w:rPr>
                                  <w:sz w:val="18"/>
                                  <w:szCs w:val="18"/>
                                </w:rPr>
                              </w:pPr>
                              <w:r>
                                <w:rPr>
                                  <w:sz w:val="18"/>
                                  <w:szCs w:val="18"/>
                                </w:rPr>
                                <w:t xml:space="preserve">ГРС (1), </w:t>
                              </w:r>
                              <w:proofErr w:type="spellStart"/>
                              <w:r>
                                <w:rPr>
                                  <w:sz w:val="18"/>
                                  <w:szCs w:val="18"/>
                                </w:rPr>
                                <w:t>МСХиМ</w:t>
                              </w:r>
                              <w:proofErr w:type="spellEnd"/>
                              <w:r>
                                <w:rPr>
                                  <w:sz w:val="18"/>
                                  <w:szCs w:val="18"/>
                                </w:rPr>
                                <w:t xml:space="preserve"> (1)</w:t>
                              </w:r>
                            </w:p>
                          </w:txbxContent>
                        </wps:txbx>
                        <wps:bodyPr rot="0" vert="horz" wrap="square" lIns="91440" tIns="45720" rIns="91440" bIns="45720" anchor="t" anchorCtr="0" upright="1">
                          <a:noAutofit/>
                        </wps:bodyPr>
                      </wps:wsp>
                      <wps:wsp>
                        <wps:cNvPr id="11" name="Поле 12"/>
                        <wps:cNvSpPr txBox="1">
                          <a:spLocks noChangeArrowheads="1"/>
                        </wps:cNvSpPr>
                        <wps:spPr bwMode="auto">
                          <a:xfrm>
                            <a:off x="4847" y="6094"/>
                            <a:ext cx="1468" cy="953"/>
                          </a:xfrm>
                          <a:prstGeom prst="rect">
                            <a:avLst/>
                          </a:prstGeom>
                          <a:solidFill>
                            <a:schemeClr val="lt1">
                              <a:lumMod val="100000"/>
                              <a:lumOff val="0"/>
                            </a:schemeClr>
                          </a:solidFill>
                          <a:ln w="6350">
                            <a:solidFill>
                              <a:schemeClr val="accent6">
                                <a:lumMod val="75000"/>
                                <a:lumOff val="0"/>
                              </a:schemeClr>
                            </a:solidFill>
                            <a:miter lim="800000"/>
                            <a:headEnd/>
                            <a:tailEnd/>
                          </a:ln>
                        </wps:spPr>
                        <wps:txbx>
                          <w:txbxContent>
                            <w:p w:rsidR="00FE47A2" w:rsidRPr="001C2FA1" w:rsidRDefault="00FE47A2" w:rsidP="00FE47A2">
                              <w:pPr>
                                <w:jc w:val="center"/>
                                <w:rPr>
                                  <w:sz w:val="18"/>
                                  <w:szCs w:val="18"/>
                                </w:rPr>
                              </w:pPr>
                              <w:proofErr w:type="spellStart"/>
                              <w:r>
                                <w:rPr>
                                  <w:sz w:val="18"/>
                                  <w:szCs w:val="18"/>
                                </w:rPr>
                                <w:t>ГАООСиЛХ</w:t>
                              </w:r>
                              <w:proofErr w:type="spellEnd"/>
                              <w:r>
                                <w:rPr>
                                  <w:sz w:val="18"/>
                                  <w:szCs w:val="18"/>
                                </w:rPr>
                                <w:t xml:space="preserve"> (4)</w:t>
                              </w:r>
                            </w:p>
                          </w:txbxContent>
                        </wps:txbx>
                        <wps:bodyPr rot="0" vert="horz" wrap="square" lIns="91440" tIns="45720" rIns="91440" bIns="45720" anchor="t" anchorCtr="0" upright="1">
                          <a:noAutofit/>
                        </wps:bodyPr>
                      </wps:wsp>
                      <wps:wsp>
                        <wps:cNvPr id="12" name="Поле 14"/>
                        <wps:cNvSpPr txBox="1">
                          <a:spLocks noChangeArrowheads="1"/>
                        </wps:cNvSpPr>
                        <wps:spPr bwMode="auto">
                          <a:xfrm>
                            <a:off x="1754" y="2545"/>
                            <a:ext cx="2759" cy="578"/>
                          </a:xfrm>
                          <a:prstGeom prst="rect">
                            <a:avLst/>
                          </a:prstGeom>
                          <a:solidFill>
                            <a:schemeClr val="lt1">
                              <a:lumMod val="100000"/>
                              <a:lumOff val="0"/>
                            </a:schemeClr>
                          </a:solidFill>
                          <a:ln w="6350">
                            <a:solidFill>
                              <a:srgbClr val="000000"/>
                            </a:solidFill>
                            <a:miter lim="800000"/>
                            <a:headEnd/>
                            <a:tailEnd/>
                          </a:ln>
                        </wps:spPr>
                        <wps:txbx>
                          <w:txbxContent>
                            <w:p w:rsidR="00FE47A2" w:rsidRPr="00407418" w:rsidRDefault="00FE47A2" w:rsidP="00FE47A2">
                              <w:pPr>
                                <w:jc w:val="center"/>
                                <w:rPr>
                                  <w:b/>
                                </w:rPr>
                              </w:pPr>
                              <w:r w:rsidRPr="00407418">
                                <w:rPr>
                                  <w:b/>
                                </w:rPr>
                                <w:t>Гражданское общество</w:t>
                              </w:r>
                            </w:p>
                          </w:txbxContent>
                        </wps:txbx>
                        <wps:bodyPr rot="0" vert="horz" wrap="square" lIns="91440" tIns="45720" rIns="91440" bIns="45720" anchor="ctr" anchorCtr="0" upright="1">
                          <a:noAutofit/>
                        </wps:bodyPr>
                      </wps:wsp>
                      <wps:wsp>
                        <wps:cNvPr id="13" name="Поле 17"/>
                        <wps:cNvSpPr txBox="1">
                          <a:spLocks noChangeArrowheads="1"/>
                        </wps:cNvSpPr>
                        <wps:spPr bwMode="auto">
                          <a:xfrm>
                            <a:off x="1703" y="7757"/>
                            <a:ext cx="3580" cy="1035"/>
                          </a:xfrm>
                          <a:prstGeom prst="rect">
                            <a:avLst/>
                          </a:prstGeom>
                          <a:solidFill>
                            <a:schemeClr val="lt1">
                              <a:lumMod val="100000"/>
                              <a:lumOff val="0"/>
                            </a:schemeClr>
                          </a:solidFill>
                          <a:ln w="6350">
                            <a:solidFill>
                              <a:srgbClr val="000000"/>
                            </a:solidFill>
                            <a:miter lim="800000"/>
                            <a:headEnd/>
                            <a:tailEnd/>
                          </a:ln>
                        </wps:spPr>
                        <wps:txbx>
                          <w:txbxContent>
                            <w:p w:rsidR="00FE47A2" w:rsidRDefault="00FE47A2" w:rsidP="00FE47A2">
                              <w:pPr>
                                <w:jc w:val="center"/>
                              </w:pPr>
                              <w:r>
                                <w:t>Территориальные подразделения вовлеченных министерств и ведомств</w:t>
                              </w:r>
                            </w:p>
                          </w:txbxContent>
                        </wps:txbx>
                        <wps:bodyPr rot="0" vert="horz" wrap="square" lIns="91440" tIns="45720" rIns="91440" bIns="45720" anchor="t" anchorCtr="0" upright="1">
                          <a:noAutofit/>
                        </wps:bodyPr>
                      </wps:wsp>
                      <wps:wsp>
                        <wps:cNvPr id="14" name="Прямая со стрелкой 18"/>
                        <wps:cNvCnPr>
                          <a:cxnSpLocks noChangeShapeType="1"/>
                        </wps:cNvCnPr>
                        <wps:spPr bwMode="auto">
                          <a:xfrm flipV="1">
                            <a:off x="5111" y="7108"/>
                            <a:ext cx="0" cy="649"/>
                          </a:xfrm>
                          <a:prstGeom prst="straightConnector1">
                            <a:avLst/>
                          </a:prstGeom>
                          <a:noFill/>
                          <a:ln w="1905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Прямая со стрелкой 19"/>
                        <wps:cNvCnPr>
                          <a:cxnSpLocks noChangeShapeType="1"/>
                        </wps:cNvCnPr>
                        <wps:spPr bwMode="auto">
                          <a:xfrm flipV="1">
                            <a:off x="3913" y="7108"/>
                            <a:ext cx="0" cy="649"/>
                          </a:xfrm>
                          <a:prstGeom prst="straightConnector1">
                            <a:avLst/>
                          </a:prstGeom>
                          <a:noFill/>
                          <a:ln w="1905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Прямая со стрелкой 20"/>
                        <wps:cNvCnPr>
                          <a:cxnSpLocks noChangeShapeType="1"/>
                        </wps:cNvCnPr>
                        <wps:spPr bwMode="auto">
                          <a:xfrm flipV="1">
                            <a:off x="2524" y="7108"/>
                            <a:ext cx="0" cy="649"/>
                          </a:xfrm>
                          <a:prstGeom prst="straightConnector1">
                            <a:avLst/>
                          </a:prstGeom>
                          <a:noFill/>
                          <a:ln w="1905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Поле 14"/>
                        <wps:cNvSpPr txBox="1">
                          <a:spLocks noChangeArrowheads="1"/>
                        </wps:cNvSpPr>
                        <wps:spPr bwMode="auto">
                          <a:xfrm>
                            <a:off x="1754" y="1369"/>
                            <a:ext cx="2759" cy="811"/>
                          </a:xfrm>
                          <a:prstGeom prst="rect">
                            <a:avLst/>
                          </a:prstGeom>
                          <a:solidFill>
                            <a:schemeClr val="lt1">
                              <a:lumMod val="100000"/>
                              <a:lumOff val="0"/>
                            </a:schemeClr>
                          </a:solidFill>
                          <a:ln w="6350">
                            <a:solidFill>
                              <a:srgbClr val="000000"/>
                            </a:solidFill>
                            <a:miter lim="800000"/>
                            <a:headEnd/>
                            <a:tailEnd/>
                          </a:ln>
                        </wps:spPr>
                        <wps:txbx>
                          <w:txbxContent>
                            <w:p w:rsidR="00FE47A2" w:rsidRPr="00407418" w:rsidRDefault="00FE47A2" w:rsidP="00FE47A2">
                              <w:pPr>
                                <w:jc w:val="center"/>
                                <w:rPr>
                                  <w:b/>
                                </w:rPr>
                              </w:pPr>
                              <w:r w:rsidRPr="00407418">
                                <w:rPr>
                                  <w:b/>
                                </w:rPr>
                                <w:t>Правительство</w:t>
                              </w:r>
                              <w:r w:rsidR="00596CBB">
                                <w:rPr>
                                  <w:b/>
                                </w:rPr>
                                <w:t xml:space="preserve"> </w:t>
                              </w:r>
                              <w:proofErr w:type="gramStart"/>
                              <w:r w:rsidR="00596CBB">
                                <w:rPr>
                                  <w:b/>
                                </w:rPr>
                                <w:t>КР</w:t>
                              </w:r>
                              <w:proofErr w:type="gramEnd"/>
                            </w:p>
                          </w:txbxContent>
                        </wps:txbx>
                        <wps:bodyPr rot="0" vert="horz" wrap="square" lIns="91440" tIns="45720" rIns="91440" bIns="45720" anchor="t" anchorCtr="0" upright="1">
                          <a:noAutofit/>
                        </wps:bodyPr>
                      </wps:wsp>
                      <wps:wsp>
                        <wps:cNvPr id="18" name="AutoShape 20"/>
                        <wps:cNvCnPr>
                          <a:cxnSpLocks noChangeShapeType="1"/>
                        </wps:cNvCnPr>
                        <wps:spPr bwMode="auto">
                          <a:xfrm flipH="1" flipV="1">
                            <a:off x="4513" y="1734"/>
                            <a:ext cx="1592" cy="203"/>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H="1">
                            <a:off x="4513" y="2545"/>
                            <a:ext cx="1592" cy="314"/>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оле 2"/>
                        <wps:cNvSpPr txBox="1">
                          <a:spLocks noChangeArrowheads="1"/>
                        </wps:cNvSpPr>
                        <wps:spPr bwMode="auto">
                          <a:xfrm>
                            <a:off x="6811" y="3772"/>
                            <a:ext cx="3857" cy="3508"/>
                          </a:xfrm>
                          <a:prstGeom prst="rect">
                            <a:avLst/>
                          </a:prstGeom>
                          <a:solidFill>
                            <a:schemeClr val="accent5">
                              <a:lumMod val="20000"/>
                              <a:lumOff val="80000"/>
                            </a:schemeClr>
                          </a:solidFill>
                          <a:ln w="6350">
                            <a:solidFill>
                              <a:srgbClr val="000000"/>
                            </a:solidFill>
                            <a:miter lim="800000"/>
                            <a:headEnd/>
                            <a:tailEnd/>
                          </a:ln>
                        </wps:spPr>
                        <wps:txbx>
                          <w:txbxContent>
                            <w:p w:rsidR="00FE47A2" w:rsidRDefault="00FE47A2" w:rsidP="00FE47A2">
                              <w:pPr>
                                <w:jc w:val="center"/>
                              </w:pPr>
                              <w:r>
                                <w:t>Национальные показатели (47 индикаторов)</w:t>
                              </w:r>
                            </w:p>
                          </w:txbxContent>
                        </wps:txbx>
                        <wps:bodyPr rot="0" vert="horz" wrap="square" lIns="91440" tIns="45720" rIns="91440" bIns="45720" anchor="t" anchorCtr="0" upright="1">
                          <a:noAutofit/>
                        </wps:bodyPr>
                      </wps:wsp>
                      <wps:wsp>
                        <wps:cNvPr id="21" name="Поле 8"/>
                        <wps:cNvSpPr txBox="1">
                          <a:spLocks noChangeArrowheads="1"/>
                        </wps:cNvSpPr>
                        <wps:spPr bwMode="auto">
                          <a:xfrm>
                            <a:off x="6957" y="4510"/>
                            <a:ext cx="3579" cy="2153"/>
                          </a:xfrm>
                          <a:prstGeom prst="rect">
                            <a:avLst/>
                          </a:prstGeom>
                          <a:solidFill>
                            <a:schemeClr val="lt1">
                              <a:lumMod val="100000"/>
                              <a:lumOff val="0"/>
                            </a:schemeClr>
                          </a:solidFill>
                          <a:ln w="6350">
                            <a:solidFill>
                              <a:schemeClr val="accent6">
                                <a:lumMod val="75000"/>
                                <a:lumOff val="0"/>
                              </a:schemeClr>
                            </a:solidFill>
                            <a:miter lim="800000"/>
                            <a:headEnd/>
                            <a:tailEnd/>
                          </a:ln>
                        </wps:spPr>
                        <wps:txbx>
                          <w:txbxContent>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1. Продуктивность углерода и энергетики (8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2. Природные активы (10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3. Экологическое качество жизни (12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4. Экономические возможности и политика реагирования (8 индикаторов);</w:t>
                              </w:r>
                            </w:p>
                            <w:p w:rsidR="00FE47A2" w:rsidRPr="001C2FA1" w:rsidRDefault="00FE47A2" w:rsidP="00FE47A2">
                              <w:pPr>
                                <w:spacing w:after="60"/>
                                <w:rPr>
                                  <w:sz w:val="16"/>
                                  <w:szCs w:val="16"/>
                                </w:rPr>
                              </w:pPr>
                              <w:r w:rsidRPr="00407418">
                                <w:rPr>
                                  <w:rFonts w:ascii="Times New Roman" w:hAnsi="Times New Roman" w:cs="Times New Roman"/>
                                  <w:sz w:val="16"/>
                                  <w:szCs w:val="16"/>
                                </w:rPr>
                                <w:t>Блок 5. Социально-экономический контекст и</w:t>
                              </w:r>
                              <w:r w:rsidRPr="006159CD">
                                <w:rPr>
                                  <w:sz w:val="16"/>
                                  <w:szCs w:val="16"/>
                                </w:rPr>
                                <w:t xml:space="preserve"> характеристики роста</w:t>
                              </w:r>
                              <w:r>
                                <w:rPr>
                                  <w:sz w:val="16"/>
                                  <w:szCs w:val="16"/>
                                </w:rPr>
                                <w:t xml:space="preserve"> (9 индикаторов)</w:t>
                              </w:r>
                            </w:p>
                          </w:txbxContent>
                        </wps:txbx>
                        <wps:bodyPr rot="0" vert="horz" wrap="square" lIns="91440" tIns="45720" rIns="91440" bIns="45720" anchor="t" anchorCtr="0" upright="1">
                          <a:noAutofit/>
                        </wps:bodyPr>
                      </wps:wsp>
                      <wps:wsp>
                        <wps:cNvPr id="22" name="Поле 12"/>
                        <wps:cNvSpPr txBox="1">
                          <a:spLocks noChangeArrowheads="1"/>
                        </wps:cNvSpPr>
                        <wps:spPr bwMode="auto">
                          <a:xfrm>
                            <a:off x="6957" y="6784"/>
                            <a:ext cx="3579" cy="443"/>
                          </a:xfrm>
                          <a:prstGeom prst="rect">
                            <a:avLst/>
                          </a:prstGeom>
                          <a:solidFill>
                            <a:schemeClr val="lt1">
                              <a:lumMod val="100000"/>
                              <a:lumOff val="0"/>
                            </a:schemeClr>
                          </a:solidFill>
                          <a:ln w="6350">
                            <a:solidFill>
                              <a:schemeClr val="accent6">
                                <a:lumMod val="75000"/>
                                <a:lumOff val="0"/>
                              </a:schemeClr>
                            </a:solidFill>
                            <a:miter lim="800000"/>
                            <a:headEnd/>
                            <a:tailEnd/>
                          </a:ln>
                        </wps:spPr>
                        <wps:txbx>
                          <w:txbxContent>
                            <w:p w:rsidR="00FE47A2" w:rsidRPr="001C2FA1" w:rsidRDefault="00FE47A2" w:rsidP="00FE47A2">
                              <w:pPr>
                                <w:jc w:val="center"/>
                                <w:rPr>
                                  <w:sz w:val="18"/>
                                  <w:szCs w:val="18"/>
                                </w:rPr>
                              </w:pPr>
                              <w:r>
                                <w:rPr>
                                  <w:sz w:val="18"/>
                                  <w:szCs w:val="18"/>
                                </w:rPr>
                                <w:t>НСК (47)</w:t>
                              </w:r>
                            </w:p>
                          </w:txbxContent>
                        </wps:txbx>
                        <wps:bodyPr rot="0" vert="horz" wrap="square" lIns="91440" tIns="45720" rIns="91440" bIns="45720" anchor="t" anchorCtr="0" upright="1">
                          <a:noAutofit/>
                        </wps:bodyPr>
                      </wps:wsp>
                      <wps:wsp>
                        <wps:cNvPr id="23" name="AutoShape 25"/>
                        <wps:cNvCnPr>
                          <a:cxnSpLocks noChangeShapeType="1"/>
                        </wps:cNvCnPr>
                        <wps:spPr bwMode="auto">
                          <a:xfrm flipH="1" flipV="1">
                            <a:off x="7992" y="2921"/>
                            <a:ext cx="516" cy="85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flipV="1">
                            <a:off x="4847" y="2921"/>
                            <a:ext cx="2607" cy="85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6.15pt;margin-top:83.7pt;width:453.6pt;height:289.8pt;z-index:251660288" coordorigin="1703,1369" coordsize="8965,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">
                <v:shapetype id="_x0000_t32" coordsize="21600,21600" o:spt="32" o:oned="t" path="m,l21600,21600e" filled="f">
                  <v:path arrowok="t" fillok="f" o:connecttype="none"/>
                  <o:lock v:ext="edit" shapetype="t"/>
                </v:shapetype>
                <v:shape id="AutoShape 5" o:spid="_x0000_s1027" type="#_x0000_t32" style="position:absolute;left:2689;top:2177;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NX74AAADaAAAADwAAAGRycy9kb3ducmV2LnhtbESPwQrCMBBE74L/EFbwpqmiItUoIoiC&#10;J6sHj0uztsVmU5poq19vBMHjMDNvmOW6NaV4Uu0KywpGwwgEcWp1wZmCy3k3mINwHlljaZkUvMjB&#10;etXtLDHWtuETPROfiQBhF6OC3PsqltKlORl0Q1sRB+9ma4M+yDqTusYmwE0px1E0kwYLDgs5VrTN&#10;Kb0nD6PgKpvp3TC69/Q6P+4O733ymOyV6vfazQKEp9b/w7/2QSsYw/dKu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e81fvgAAANoAAAAPAAAAAAAAAAAAAAAAAKEC&#10;AABkcnMvZG93bnJldi54bWxQSwUGAAAAAAQABAD5AAAAjAMAAAAA&#10;" strokeweight="1.5pt">
                  <v:stroke endarrow="open" endarrowwidth="narrow"/>
                </v:shape>
                <v:shape id="AutoShape 6" o:spid="_x0000_s1028" type="#_x0000_t32" style="position:absolute;left:3143;top:2180;width:0;height: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pUMEAAADaAAAADwAAAGRycy9kb3ducmV2LnhtbESPS4sCMRCE78L+h9DC3jTxgcisUUQY&#10;9bg+2HMzaSeDk87sJOrsv98Igseiqr6iFqvO1eJObag8axgNFQjiwpuKSw3nUz6YgwgR2WDtmTT8&#10;UYDV8qO3wMz4Bx/ofoylSBAOGWqwMTaZlKGw5DAMfUOcvItvHcYk21KaFh8J7mo5VmomHVacFiw2&#10;tLFUXI83p+FnN7JduVd2cvudntT2Ow90zrX+7HfrLxCRuvgOv9p7o2ECzyvpBs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lQwQAAANoAAAAPAAAAAAAAAAAAAAAA&#10;AKECAABkcnMvZG93bnJldi54bWxQSwUGAAAAAAQABAD5AAAAjwMAAAAA&#10;" strokeweight="1.5pt">
                  <v:stroke endarrow="open"/>
                </v:shape>
                <v:shapetype id="_x0000_t202" coordsize="21600,21600" o:spt="202" path="m,l,21600r21600,l21600,xe">
                  <v:stroke joinstyle="miter"/>
                  <v:path gradientshapeok="t" o:connecttype="rect"/>
                </v:shapetype>
                <v:shape id="Поле 1" o:spid="_x0000_s1029" type="#_x0000_t202" style="position:absolute;left:6105;top:1633;width:4117;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aV8IA&#10;AADaAAAADwAAAGRycy9kb3ducmV2LnhtbESPQWsCMRSE70L/Q3iF3mpWEZXVKFWUtnhybT0/Nq+7&#10;wc3LmqS6/vtGKHgcZuYbZr7sbCMu5INxrGDQz0AQl04brhR8HbavUxAhImtsHJOCGwVYLp56c8y1&#10;u/KeLkWsRIJwyFFBHWObSxnKmiyGvmuJk/fjvMWYpK+k9nhNcNvIYZaNpUXDaaHGltY1lafi1yo4&#10;f/vDaGA2x23zWZjz5LRbveNEqZfn7m0GIlIXH+H/9odWMIL7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BpXwgAAANoAAAAPAAAAAAAAAAAAAAAAAJgCAABkcnMvZG93&#10;bnJldi54bWxQSwUGAAAAAAQABAD1AAAAhwMAAAAA&#10;" fillcolor="white [3201]" strokeweight=".5pt">
                  <v:textbox>
                    <w:txbxContent>
                      <w:p w:rsidR="00FE47A2" w:rsidRPr="00407418" w:rsidRDefault="00407418" w:rsidP="00407418">
                        <w:pPr>
                          <w:spacing w:after="0"/>
                          <w:jc w:val="center"/>
                          <w:rPr>
                            <w:rFonts w:ascii="Times New Roman" w:hAnsi="Times New Roman" w:cs="Times New Roman"/>
                            <w:b/>
                          </w:rPr>
                        </w:pPr>
                        <w:r w:rsidRPr="00407418">
                          <w:rPr>
                            <w:rFonts w:ascii="Times New Roman" w:hAnsi="Times New Roman" w:cs="Times New Roman"/>
                            <w:b/>
                          </w:rPr>
                          <w:t xml:space="preserve">Министерство экономики </w:t>
                        </w:r>
                      </w:p>
                      <w:p w:rsidR="00407418" w:rsidRPr="00407418" w:rsidRDefault="00407418" w:rsidP="00407418">
                        <w:pPr>
                          <w:spacing w:after="0"/>
                          <w:jc w:val="center"/>
                          <w:rPr>
                            <w:rFonts w:ascii="Times New Roman" w:hAnsi="Times New Roman" w:cs="Times New Roman"/>
                            <w:b/>
                          </w:rPr>
                        </w:pPr>
                        <w:r w:rsidRPr="00407418">
                          <w:rPr>
                            <w:rFonts w:ascii="Times New Roman" w:hAnsi="Times New Roman" w:cs="Times New Roman"/>
                            <w:b/>
                          </w:rPr>
                          <w:t xml:space="preserve">Кыргызской Республики </w:t>
                        </w:r>
                      </w:p>
                    </w:txbxContent>
                  </v:textbox>
                </v:shape>
                <v:shape id="Поле 3" o:spid="_x0000_s1030" type="#_x0000_t202" style="position:absolute;left:1814;top:4371;width:1429;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8QA&#10;AADaAAAADwAAAGRycy9kb3ducmV2LnhtbESP3WoCMRSE7wu+QziF3hTNutAqq1FEEFos1F/w8rA5&#10;brZuTpYk6vbtm0Khl8PMfMNM551txI18qB0rGA4yEMSl0zVXCg77VX8MIkRkjY1jUvBNAeaz3sMU&#10;C+3uvKXbLlYiQTgUqMDE2BZShtKQxTBwLXHyzs5bjEn6SmqP9wS3jcyz7FVarDktGGxpaai87K5W&#10;wSn/WJ/D+p1Xw2dDm+tx9PWZe6WeHrvFBESkLv6H/9pvWsEL/F5JN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vvEAAAA2gAAAA8AAAAAAAAAAAAAAAAAmAIAAGRycy9k&#10;b3ducmV2LnhtbFBLBQYAAAAABAAEAPUAAACJAwAAAAA=&#10;" fillcolor="white [3201]" strokecolor="#76923c [2406]" strokeweight=".5pt">
                  <v:textbo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1. Продуктивность углерода и энергетики</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(9 индикаторов)</w:t>
                        </w:r>
                      </w:p>
                    </w:txbxContent>
                  </v:textbox>
                </v:shape>
                <v:shape id="Поле 5" o:spid="_x0000_s1031" type="#_x0000_t202" style="position:absolute;left:3346;top:4371;width:141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8v8MA&#10;AADaAAAADwAAAGRycy9kb3ducmV2LnhtbESP3YrCMBSE7xd8h3AE79bUFVypjVJkBS9EqfoAh+b0&#10;B5uT2kSt+/QbQdjLYWa+YZJVbxpxp87VlhVMxhEI4tzqmksF59Pmcw7CeWSNjWVS8CQHq+XgI8FY&#10;2wdndD/6UgQIuxgVVN63sZQur8igG9uWOHiF7Qz6ILtS6g4fAW4a+RVFM2mw5rBQYUvrivLL8WYU&#10;ZOs07+mnyKaT72t6O+wuv/ssUmo07NMFCE+9/w+/21utYAav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8v8MAAADaAAAADwAAAAAAAAAAAAAAAACYAgAAZHJzL2Rv&#10;d25yZXYueG1sUEsFBgAAAAAEAAQA9QAAAIgDAAAAAA==&#10;" fillcolor="white [3201]" strokecolor="#943634 [2405]" strokeweight=".5pt">
                  <v:textbo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2. Природные активы</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(5 индикаторов)</w:t>
                        </w:r>
                      </w:p>
                    </w:txbxContent>
                  </v:textbox>
                </v:shape>
                <v:shape id="Поле 8" o:spid="_x0000_s1032" type="#_x0000_t202" style="position:absolute;left:4847;top:4371;width:147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b0A&#10;AADaAAAADwAAAGRycy9kb3ducmV2LnhtbERPu4oCMRTtF/yHcAW7NXELH6NRRFiwsFkVtLxMrpPB&#10;5GaYRB39elMsWB7Oe7HqvBN3amMdWMNoqEAQl8HUXGk4Hn6/pyBiQjboApOGJ0VYLXtfCyxMePAf&#10;3fepEjmEY4EabEpNIWUsLXmMw9AQZ+4SWo8pw7aSpsVHDvdO/ig1lh5rzg0WG9pYKq/7m9fwcuNq&#10;tjueYppwtBfn1NlJpfWg363nIBJ16SP+d2+Nhrw1X8k3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K+b0AAADaAAAADwAAAAAAAAAAAAAAAACYAgAAZHJzL2Rvd25yZXYu&#10;eG1sUEsFBgAAAAAEAAQA9QAAAIIDAAAAAA==&#10;" fillcolor="white [3201]" strokecolor="#e36c0a [2409]" strokeweight=".5pt">
                  <v:textbox>
                    <w:txbxContent>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Блок 4. Экономические возможности и политика реагирования</w:t>
                        </w:r>
                      </w:p>
                      <w:p w:rsidR="00FE47A2" w:rsidRPr="00407418" w:rsidRDefault="00FE47A2" w:rsidP="00FE47A2">
                        <w:pPr>
                          <w:jc w:val="center"/>
                          <w:rPr>
                            <w:rFonts w:ascii="Times New Roman" w:hAnsi="Times New Roman" w:cs="Times New Roman"/>
                            <w:sz w:val="16"/>
                            <w:szCs w:val="16"/>
                          </w:rPr>
                        </w:pPr>
                        <w:r w:rsidRPr="00407418">
                          <w:rPr>
                            <w:rFonts w:ascii="Times New Roman" w:hAnsi="Times New Roman" w:cs="Times New Roman"/>
                            <w:sz w:val="16"/>
                            <w:szCs w:val="16"/>
                          </w:rPr>
                          <w:t>(4 индикатора)</w:t>
                        </w:r>
                      </w:p>
                    </w:txbxContent>
                  </v:textbox>
                </v:shape>
                <v:shape id="Поле 9" o:spid="_x0000_s1033" type="#_x0000_t202" style="position:absolute;left:1814;top:6094;width:1429;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M/sQA&#10;AADaAAAADwAAAGRycy9kb3ducmV2LnhtbESPT2sCMRTE7wW/Q3iFXopm3UOrq1FEEFos1L/g8bF5&#10;brZuXpYk6vbbN4VCj8PM/IaZzjvbiBv5UDtWMBxkIIhLp2uuFBz2q/4IRIjIGhvHpOCbAsxnvYcp&#10;FtrdeUu3XaxEgnAoUIGJsS2kDKUhi2HgWuLknZ23GJP0ldQe7wluG5ln2Yu0WHNaMNjS0lB52V2t&#10;glP+sT6H9Tuvhs+GNtfj69dn7pV6euwWExCRuvgf/mu/aQVj+L2Sb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zP7EAAAA2gAAAA8AAAAAAAAAAAAAAAAAmAIAAGRycy9k&#10;b3ducmV2LnhtbFBLBQYAAAAABAAEAPUAAACJAwAAAAA=&#10;" fillcolor="white [3201]" strokecolor="#76923c [2406]" strokeweight=".5pt">
                  <v:textbox>
                    <w:txbxContent>
                      <w:p w:rsidR="00FE47A2" w:rsidRDefault="00FE47A2" w:rsidP="00FE47A2">
                        <w:pPr>
                          <w:jc w:val="center"/>
                          <w:rPr>
                            <w:sz w:val="18"/>
                            <w:szCs w:val="18"/>
                          </w:rPr>
                        </w:pPr>
                        <w:proofErr w:type="spellStart"/>
                        <w:r>
                          <w:rPr>
                            <w:sz w:val="18"/>
                            <w:szCs w:val="18"/>
                          </w:rPr>
                          <w:t>МСХиМ</w:t>
                        </w:r>
                        <w:r w:rsidR="00865873">
                          <w:rPr>
                            <w:sz w:val="18"/>
                            <w:szCs w:val="18"/>
                          </w:rPr>
                          <w:t>ПП</w:t>
                        </w:r>
                        <w:proofErr w:type="spellEnd"/>
                        <w:r>
                          <w:rPr>
                            <w:sz w:val="18"/>
                            <w:szCs w:val="18"/>
                          </w:rPr>
                          <w:t xml:space="preserve"> (8)</w:t>
                        </w:r>
                      </w:p>
                      <w:p w:rsidR="00FE47A2" w:rsidRPr="001C2FA1" w:rsidRDefault="00FE47A2" w:rsidP="00FE47A2">
                        <w:pPr>
                          <w:jc w:val="center"/>
                          <w:rPr>
                            <w:sz w:val="18"/>
                            <w:szCs w:val="18"/>
                          </w:rPr>
                        </w:pPr>
                        <w:proofErr w:type="spellStart"/>
                        <w:r>
                          <w:rPr>
                            <w:sz w:val="18"/>
                            <w:szCs w:val="18"/>
                          </w:rPr>
                          <w:t>ГАСиРР</w:t>
                        </w:r>
                        <w:proofErr w:type="spellEnd"/>
                        <w:r>
                          <w:rPr>
                            <w:sz w:val="18"/>
                            <w:szCs w:val="18"/>
                          </w:rPr>
                          <w:t xml:space="preserve"> (1)</w:t>
                        </w:r>
                      </w:p>
                    </w:txbxContent>
                  </v:textbox>
                </v:shape>
                <v:shape id="Поле 10" o:spid="_x0000_s1034" type="#_x0000_t202" style="position:absolute;left:3346;top:6094;width:139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iH8UA&#10;AADbAAAADwAAAGRycy9kb3ducmV2LnhtbESPQWvCQBCF7wX/wzKF3urGFlpJs0qQCh5KS6I/YMiO&#10;SUh2NmZXTf31zqHQ2wzvzXvfZOvJ9epCY2g9G1jME1DElbct1wYO++3zElSIyBZ7z2TglwKsV7OH&#10;DFPrr1zQpYy1khAOKRpoYhxSrUPVkMMw9wOxaEc/OoyyjrW2I14l3PX6JUnetMOWpaHBgTYNVV15&#10;dgaKTV5N9HksXhfvp/z889XdvovEmKfHKf8AFWmK/+a/650VfKGXX2QA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yIfxQAAANsAAAAPAAAAAAAAAAAAAAAAAJgCAABkcnMv&#10;ZG93bnJldi54bWxQSwUGAAAAAAQABAD1AAAAigMAAAAA&#10;" fillcolor="white [3201]" strokecolor="#943634 [2405]" strokeweight=".5pt">
                  <v:textbox>
                    <w:txbxContent>
                      <w:p w:rsidR="00FE47A2" w:rsidRDefault="00407418" w:rsidP="00FE47A2">
                        <w:pPr>
                          <w:jc w:val="center"/>
                          <w:rPr>
                            <w:sz w:val="18"/>
                            <w:szCs w:val="18"/>
                          </w:rPr>
                        </w:pPr>
                        <w:r>
                          <w:rPr>
                            <w:sz w:val="18"/>
                            <w:szCs w:val="18"/>
                          </w:rPr>
                          <w:t>ГКПЭН</w:t>
                        </w:r>
                        <w:r w:rsidR="00FE47A2">
                          <w:rPr>
                            <w:sz w:val="18"/>
                            <w:szCs w:val="18"/>
                          </w:rPr>
                          <w:t xml:space="preserve"> (3)</w:t>
                        </w:r>
                      </w:p>
                      <w:p w:rsidR="00FE47A2" w:rsidRPr="001C2FA1" w:rsidRDefault="00FE47A2" w:rsidP="00FE47A2">
                        <w:pPr>
                          <w:jc w:val="center"/>
                          <w:rPr>
                            <w:sz w:val="18"/>
                            <w:szCs w:val="18"/>
                          </w:rPr>
                        </w:pPr>
                        <w:r>
                          <w:rPr>
                            <w:sz w:val="18"/>
                            <w:szCs w:val="18"/>
                          </w:rPr>
                          <w:t xml:space="preserve">ГРС (1), </w:t>
                        </w:r>
                        <w:proofErr w:type="spellStart"/>
                        <w:r>
                          <w:rPr>
                            <w:sz w:val="18"/>
                            <w:szCs w:val="18"/>
                          </w:rPr>
                          <w:t>МСХиМ</w:t>
                        </w:r>
                        <w:proofErr w:type="spellEnd"/>
                        <w:r>
                          <w:rPr>
                            <w:sz w:val="18"/>
                            <w:szCs w:val="18"/>
                          </w:rPr>
                          <w:t xml:space="preserve"> (1)</w:t>
                        </w:r>
                      </w:p>
                    </w:txbxContent>
                  </v:textbox>
                </v:shape>
                <v:shape id="Поле 12" o:spid="_x0000_s1035" type="#_x0000_t202" style="position:absolute;left:4847;top:6094;width:146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A1r4A&#10;AADbAAAADwAAAGRycy9kb3ducmV2LnhtbERPTWsCMRC9C/6HMII3TfSgdjWKCIKHXqqCPQ6bcbOY&#10;TJZN1K2/vhEKvc3jfc5q03knHtTGOrCGyViBIC6DqbnScD7tRwsQMSEbdIFJww9F2Kz7vRUWJjz5&#10;ix7HVIkcwrFADTalppAylpY8xnFoiDN3Da3HlGFbSdPiM4d7J6dKzaTHmnODxYZ2lsrb8e41vNys&#10;+vg8X2Kac7RX59S3k0rr4aDbLkEk6tK/+M99MHn+BN6/5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iQNa+AAAA2wAAAA8AAAAAAAAAAAAAAAAAmAIAAGRycy9kb3ducmV2&#10;LnhtbFBLBQYAAAAABAAEAPUAAACDAwAAAAA=&#10;" fillcolor="white [3201]" strokecolor="#e36c0a [2409]" strokeweight=".5pt">
                  <v:textbox>
                    <w:txbxContent>
                      <w:p w:rsidR="00FE47A2" w:rsidRPr="001C2FA1" w:rsidRDefault="00FE47A2" w:rsidP="00FE47A2">
                        <w:pPr>
                          <w:jc w:val="center"/>
                          <w:rPr>
                            <w:sz w:val="18"/>
                            <w:szCs w:val="18"/>
                          </w:rPr>
                        </w:pPr>
                        <w:proofErr w:type="spellStart"/>
                        <w:r>
                          <w:rPr>
                            <w:sz w:val="18"/>
                            <w:szCs w:val="18"/>
                          </w:rPr>
                          <w:t>ГАООСиЛХ</w:t>
                        </w:r>
                        <w:proofErr w:type="spellEnd"/>
                        <w:r>
                          <w:rPr>
                            <w:sz w:val="18"/>
                            <w:szCs w:val="18"/>
                          </w:rPr>
                          <w:t xml:space="preserve"> (4)</w:t>
                        </w:r>
                      </w:p>
                    </w:txbxContent>
                  </v:textbox>
                </v:shape>
                <v:shape id="Поле 14" o:spid="_x0000_s1036" type="#_x0000_t202" style="position:absolute;left:1754;top:2545;width:2759;height: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rsidR="00FE47A2" w:rsidRPr="00407418" w:rsidRDefault="00FE47A2" w:rsidP="00FE47A2">
                        <w:pPr>
                          <w:jc w:val="center"/>
                          <w:rPr>
                            <w:b/>
                          </w:rPr>
                        </w:pPr>
                        <w:r w:rsidRPr="00407418">
                          <w:rPr>
                            <w:b/>
                          </w:rPr>
                          <w:t>Гражданское общество</w:t>
                        </w:r>
                      </w:p>
                    </w:txbxContent>
                  </v:textbox>
                </v:shape>
                <v:shape id="Поле 17" o:spid="_x0000_s1037" type="#_x0000_t202" style="position:absolute;left:1703;top:7757;width:35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FE47A2" w:rsidRDefault="00FE47A2" w:rsidP="00FE47A2">
                        <w:pPr>
                          <w:jc w:val="center"/>
                        </w:pPr>
                        <w:r>
                          <w:t>Территориальные подразделения вовлеченных министерств и ведомств</w:t>
                        </w:r>
                      </w:p>
                    </w:txbxContent>
                  </v:textbox>
                </v:shape>
                <v:shape id="Прямая со стрелкой 18" o:spid="_x0000_s1038" type="#_x0000_t32" style="position:absolute;left:5111;top:7108;width:0;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H4MEAAADbAAAADwAAAGRycy9kb3ducmV2LnhtbERPS4vCMBC+L/gfwgh7W1MXXaQaxcrK&#10;7knxcfE2NNOm2ExqE7X7740g7G0+vufMFp2txY1aXzlWMBwkIIhzpysuFRwP648JCB+QNdaOScEf&#10;eVjMe28zTLW7845u+1CKGMI+RQUmhCaV0ueGLPqBa4gjV7jWYoiwLaVu8R7DbS0/k+RLWqw4Nhhs&#10;aGUoP++vVsFqO3LZJtv88Pf2XJwKk13Gw0yp9363nIII1IV/8cv9q+P8ETx/i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gUfgwQAAANsAAAAPAAAAAAAAAAAAAAAA&#10;AKECAABkcnMvZG93bnJldi54bWxQSwUGAAAAAAQABAD5AAAAjwMAAAAA&#10;" strokecolor="black [3200]" strokeweight="1.5pt">
                  <v:stroke endarrow="open"/>
                  <v:shadow on="t" color="black" opacity="24903f" origin=",.5" offset="0,.55556mm"/>
                </v:shape>
                <v:shape id="Прямая со стрелкой 19" o:spid="_x0000_s1039" type="#_x0000_t32" style="position:absolute;left:3913;top:7108;width:0;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ie8IAAADbAAAADwAAAGRycy9kb3ducmV2LnhtbERPTWvCQBC9C/6HZQq91Y2llpK6kUYq&#10;9qRUvfQ2ZCfZkOxszK4a/31XELzN433OfDHYVpyp97VjBdNJAoK4cLrmSsFhv3r5AOEDssbWMSm4&#10;kodFNh7NMdXuwr903oVKxBD2KSowIXSplL4wZNFPXEccudL1FkOEfSV1j5cYblv5miTv0mLNscFg&#10;R0tDRbM7WQXL7ZvLN/lmzd/bpvwrTX6cTXOlnp+Gr08QgYbwEN/dPzrOn8Htl3i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3ie8IAAADbAAAADwAAAAAAAAAAAAAA&#10;AAChAgAAZHJzL2Rvd25yZXYueG1sUEsFBgAAAAAEAAQA+QAAAJADAAAAAA==&#10;" strokecolor="black [3200]" strokeweight="1.5pt">
                  <v:stroke endarrow="open"/>
                  <v:shadow on="t" color="black" opacity="24903f" origin=",.5" offset="0,.55556mm"/>
                </v:shape>
                <v:shape id="Прямая со стрелкой 20" o:spid="_x0000_s1040" type="#_x0000_t32" style="position:absolute;left:2524;top:7108;width:0;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98DMEAAADbAAAADwAAAGRycy9kb3ducmV2LnhtbERPTYvCMBC9C/6HMAveNFVUlq5RtqKs&#10;J2XVy96GZtoUm0ltonb//WZB8DaP9zmLVWdrcafWV44VjEcJCOLc6YpLBefTdvgOwgdkjbVjUvBL&#10;HlbLfm+BqXYP/qb7MZQihrBPUYEJoUml9Lkhi37kGuLIFa61GCJsS6lbfMRwW8tJksylxYpjg8GG&#10;1obyy/FmFawPU5fts/0Xbw6X4qcw2XU2zpQavHWfHyACdeElfrp3Os6fw/8v8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H3wMwQAAANsAAAAPAAAAAAAAAAAAAAAA&#10;AKECAABkcnMvZG93bnJldi54bWxQSwUGAAAAAAQABAD5AAAAjwMAAAAA&#10;" strokecolor="black [3200]" strokeweight="1.5pt">
                  <v:stroke endarrow="open"/>
                  <v:shadow on="t" color="black" opacity="24903f" origin=",.5" offset="0,.55556mm"/>
                </v:shape>
                <v:shape id="Поле 14" o:spid="_x0000_s1041" type="#_x0000_t202" style="position:absolute;left:1754;top:1369;width:275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FE47A2" w:rsidRPr="00407418" w:rsidRDefault="00FE47A2" w:rsidP="00FE47A2">
                        <w:pPr>
                          <w:jc w:val="center"/>
                          <w:rPr>
                            <w:b/>
                          </w:rPr>
                        </w:pPr>
                        <w:r w:rsidRPr="00407418">
                          <w:rPr>
                            <w:b/>
                          </w:rPr>
                          <w:t>Правительство</w:t>
                        </w:r>
                        <w:r w:rsidR="00596CBB">
                          <w:rPr>
                            <w:b/>
                          </w:rPr>
                          <w:t xml:space="preserve"> </w:t>
                        </w:r>
                        <w:proofErr w:type="gramStart"/>
                        <w:r w:rsidR="00596CBB">
                          <w:rPr>
                            <w:b/>
                          </w:rPr>
                          <w:t>КР</w:t>
                        </w:r>
                        <w:proofErr w:type="gramEnd"/>
                      </w:p>
                    </w:txbxContent>
                  </v:textbox>
                </v:shape>
                <v:shape id="AutoShape 20" o:spid="_x0000_s1042" type="#_x0000_t32" style="position:absolute;left:4513;top:1734;width:1592;height:2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ncMMAAADbAAAADwAAAGRycy9kb3ducmV2LnhtbESPTWvCQBCG70L/wzIFL6Ibi4hNXaUE&#10;Kp6EJkKvQ3ZMgtnZkF1N7K/vHITeZpj345ntfnStulMfGs8GlosEFHHpbcOVgXPxNd+AChHZYuuZ&#10;DDwowH73Mtliav3A33TPY6UkhEOKBuoYu1TrUNbkMCx8Ryy3i+8dRln7StseBwl3rX5LkrV22LA0&#10;1NhRVlN5zW9Oeg/Z7P26Ov/Y4nRcn+xvfhiKzJjp6/j5ASrSGP/FT/fRCr7Ayi8ygN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hJ3DDAAAA2wAAAA8AAAAAAAAAAAAA&#10;AAAAoQIAAGRycy9kb3ducmV2LnhtbFBLBQYAAAAABAAEAPkAAACRAwAAAAA=&#10;" strokeweight="1.5pt">
                  <v:stroke endarrow="open"/>
                </v:shape>
                <v:shape id="AutoShape 21" o:spid="_x0000_s1043" type="#_x0000_t32" style="position:absolute;left:4513;top:2545;width:1592;height: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4ycAAAADbAAAADwAAAGRycy9kb3ducmV2LnhtbERPS2sCMRC+F/ofwhR6q8laEbs1K0VY&#10;9Vgf9Dxsppulm8m6ibr+e1MQvM3H95z5YnCtOFMfGs8aspECQVx503Ct4bAv32YgQkQ22HomDVcK&#10;sCien+aYG3/hLZ13sRYphEOOGmyMXS5lqCw5DCPfESfu1/cOY4J9LU2PlxTuWjlWaiodNpwaLHa0&#10;tFT97U5Ow886s0O9Ufb9dJzs1eq7DHQotX59Gb4+QUQa4kN8d29Mmv8B/7+kA2R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T+MnAAAAA2wAAAA8AAAAAAAAAAAAAAAAA&#10;oQIAAGRycy9kb3ducmV2LnhtbFBLBQYAAAAABAAEAPkAAACOAwAAAAA=&#10;" strokeweight="1.5pt">
                  <v:stroke endarrow="open"/>
                </v:shape>
                <v:shape id="Поле 2" o:spid="_x0000_s1044" type="#_x0000_t202" style="position:absolute;left:6811;top:3772;width:3857;height: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fIsAA&#10;AADbAAAADwAAAGRycy9kb3ducmV2LnhtbERPy4rCMBTdC/MP4Q64kTEdFRmqaRkERVRwRv2AS3P7&#10;0OamNFHr35uF4PJw3vO0M7W4Uesqywq+hxEI4szqigsFp+Py6weE88gaa8uk4EEO0uSjN8dY2zv/&#10;0+3gCxFC2MWooPS+iaV0WUkG3dA2xIHLbWvQB9gWUrd4D+GmlqMomkqDFYeGEhtalJRdDlejYLwy&#10;i79JFuWDfO/OvC2mF7fbKNX/7H5nIDx1/i1+uddawSisD1/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KfIsAAAADbAAAADwAAAAAAAAAAAAAAAACYAgAAZHJzL2Rvd25y&#10;ZXYueG1sUEsFBgAAAAAEAAQA9QAAAIUDAAAAAA==&#10;" fillcolor="#daeef3 [664]" strokeweight=".5pt">
                  <v:textbox>
                    <w:txbxContent>
                      <w:p w:rsidR="00FE47A2" w:rsidRDefault="00FE47A2" w:rsidP="00FE47A2">
                        <w:pPr>
                          <w:jc w:val="center"/>
                        </w:pPr>
                        <w:r>
                          <w:t>Национальные показатели (47 индикаторов)</w:t>
                        </w:r>
                      </w:p>
                    </w:txbxContent>
                  </v:textbox>
                </v:shape>
                <v:shape id="Поле 8" o:spid="_x0000_s1045" type="#_x0000_t202" style="position:absolute;left:6957;top:4510;width:3579;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Ka8EA&#10;AADbAAAADwAAAGRycy9kb3ducmV2LnhtbESPzYoCMRCE78K+Q+gFb5rowZ/RKLIgeNjLqqDHZtJO&#10;BpPOMMnqrE+/EQSPRVV9RS3XnXfiRm2sA2sYDRUI4jKYmisNx8N2MAMRE7JBF5g0/FGE9eqjt8TC&#10;hDv/0G2fKpEhHAvUYFNqCiljacljHIaGOHuX0HpMWbaVNC3eM9w7OVZqIj3WnBcsNvRlqbzuf72G&#10;h5tU8+/jKaYpR3txTp2dVFr3P7vNAkSiLr3Dr/bOaBiP4Pk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imvBAAAA2wAAAA8AAAAAAAAAAAAAAAAAmAIAAGRycy9kb3du&#10;cmV2LnhtbFBLBQYAAAAABAAEAPUAAACGAwAAAAA=&#10;" fillcolor="white [3201]" strokecolor="#e36c0a [2409]" strokeweight=".5pt">
                  <v:textbox>
                    <w:txbxContent>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1. Продуктивность углерода и энергетики (8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2. Природные активы (10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3. Экологическое качество жизни (12 индикаторов);</w:t>
                        </w:r>
                      </w:p>
                      <w:p w:rsidR="00FE47A2" w:rsidRPr="00407418" w:rsidRDefault="00FE47A2" w:rsidP="00FE47A2">
                        <w:pPr>
                          <w:spacing w:after="60"/>
                          <w:rPr>
                            <w:rFonts w:ascii="Times New Roman" w:hAnsi="Times New Roman" w:cs="Times New Roman"/>
                            <w:sz w:val="16"/>
                            <w:szCs w:val="16"/>
                          </w:rPr>
                        </w:pPr>
                        <w:r w:rsidRPr="00407418">
                          <w:rPr>
                            <w:rFonts w:ascii="Times New Roman" w:hAnsi="Times New Roman" w:cs="Times New Roman"/>
                            <w:sz w:val="16"/>
                            <w:szCs w:val="16"/>
                          </w:rPr>
                          <w:t>Блок 4. Экономические возможности и политика реагирования (8 индикаторов);</w:t>
                        </w:r>
                      </w:p>
                      <w:p w:rsidR="00FE47A2" w:rsidRPr="001C2FA1" w:rsidRDefault="00FE47A2" w:rsidP="00FE47A2">
                        <w:pPr>
                          <w:spacing w:after="60"/>
                          <w:rPr>
                            <w:sz w:val="16"/>
                            <w:szCs w:val="16"/>
                          </w:rPr>
                        </w:pPr>
                        <w:r w:rsidRPr="00407418">
                          <w:rPr>
                            <w:rFonts w:ascii="Times New Roman" w:hAnsi="Times New Roman" w:cs="Times New Roman"/>
                            <w:sz w:val="16"/>
                            <w:szCs w:val="16"/>
                          </w:rPr>
                          <w:t>Блок 5. Социально-экономический контекст и</w:t>
                        </w:r>
                        <w:r w:rsidRPr="006159CD">
                          <w:rPr>
                            <w:sz w:val="16"/>
                            <w:szCs w:val="16"/>
                          </w:rPr>
                          <w:t xml:space="preserve"> характеристики роста</w:t>
                        </w:r>
                        <w:r>
                          <w:rPr>
                            <w:sz w:val="16"/>
                            <w:szCs w:val="16"/>
                          </w:rPr>
                          <w:t xml:space="preserve"> (9 индикаторов)</w:t>
                        </w:r>
                      </w:p>
                    </w:txbxContent>
                  </v:textbox>
                </v:shape>
                <v:shape id="Поле 12" o:spid="_x0000_s1046" type="#_x0000_t202" style="position:absolute;left:6957;top:6784;width:357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UHMMA&#10;AADbAAAADwAAAGRycy9kb3ducmV2LnhtbESPwWrDMBBE74H+g9hCb7FUH5LWjWxKIJBDL00D6XGx&#10;NpaptDKWkrj9+ioQyHGYmTfMqpm8E2caYx9Yw3OhQBC3wfTcadh/beYvIGJCNugCk4ZfitDUD7MV&#10;ViZc+JPOu9SJDOFYoQab0lBJGVtLHmMRBuLsHcPoMWU5dtKMeMlw72Sp1EJ67DkvWBxoban92Z28&#10;hj+36F4/9oeYlhzt0Tn17aTS+ulxen8DkWhK9/CtvTUayhKuX/IPk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UHMMAAADbAAAADwAAAAAAAAAAAAAAAACYAgAAZHJzL2Rv&#10;d25yZXYueG1sUEsFBgAAAAAEAAQA9QAAAIgDAAAAAA==&#10;" fillcolor="white [3201]" strokecolor="#e36c0a [2409]" strokeweight=".5pt">
                  <v:textbox>
                    <w:txbxContent>
                      <w:p w:rsidR="00FE47A2" w:rsidRPr="001C2FA1" w:rsidRDefault="00FE47A2" w:rsidP="00FE47A2">
                        <w:pPr>
                          <w:jc w:val="center"/>
                          <w:rPr>
                            <w:sz w:val="18"/>
                            <w:szCs w:val="18"/>
                          </w:rPr>
                        </w:pPr>
                        <w:r>
                          <w:rPr>
                            <w:sz w:val="18"/>
                            <w:szCs w:val="18"/>
                          </w:rPr>
                          <w:t>НСК (47)</w:t>
                        </w:r>
                      </w:p>
                    </w:txbxContent>
                  </v:textbox>
                </v:shape>
                <v:shape id="AutoShape 25" o:spid="_x0000_s1047" type="#_x0000_t32" style="position:absolute;left:7992;top:2921;width:516;height:8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vMQAAADbAAAADwAAAGRycy9kb3ducmV2LnhtbESPzWqDQBSF94G+w3AL3YQ61oaQWieh&#10;CJWsAtFAthfnViXOHXGm0fbpO4VAlofz83Gy3Wx6caXRdZYVvEQxCOLa6o4bBafq83kDwnlkjb1l&#10;UvBDDnbbh0WGqbYTH+la+kaEEXYpKmi9H1IpXd2SQRfZgTh4X3Y06IMcG6lHnMK46WUSx2tpsONA&#10;aHGgvKX6Un6bwC3y5dtldTrr6rBfH/RvWUxVrtTT4/zxDsLT7O/hW3uvFSSv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X+8xAAAANsAAAAPAAAAAAAAAAAA&#10;AAAAAKECAABkcnMvZG93bnJldi54bWxQSwUGAAAAAAQABAD5AAAAkgMAAAAA&#10;" strokeweight="1.5pt">
                  <v:stroke endarrow="open"/>
                </v:shape>
                <v:shape id="AutoShape 26" o:spid="_x0000_s1048" type="#_x0000_t32" style="position:absolute;left:4847;top:2921;width:2607;height:8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6d6sEAAADbAAAADwAAAGRycy9kb3ducmV2LnhtbESPT4vCMBTE78J+h/AWvGniH0S6RpGF&#10;qkdXxfOjedsUm5duE7V+eyMseBxm5jfMYtW5WtyoDZVnDaOhAkFceFNxqeF0zAdzECEiG6w9k4YH&#10;BVgtP3oLzIy/8w/dDrEUCcIhQw02xiaTMhSWHIahb4iT9+tbhzHJtpSmxXuCu1qOlZpJhxWnBYsN&#10;fVsqLoer03DejmxX7pSdXP+mR7XZ54FOudb9z279BSJSF9/h//bOaBhP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fp3qwQAAANsAAAAPAAAAAAAAAAAAAAAA&#10;AKECAABkcnMvZG93bnJldi54bWxQSwUGAAAAAAQABAD5AAAAjwMAAAAA&#10;" strokeweight="1.5pt">
                  <v:stroke endarrow="open"/>
                </v:shape>
                <w10:wrap type="square"/>
              </v:group>
            </w:pict>
          </mc:Fallback>
        </mc:AlternateContent>
      </w:r>
      <w:r w:rsidR="00FE47A2" w:rsidRPr="00596CBB">
        <w:rPr>
          <w:rFonts w:ascii="Arial" w:hAnsi="Arial" w:cs="Arial"/>
          <w:sz w:val="24"/>
          <w:szCs w:val="24"/>
          <w:lang w:bidi="en-US"/>
        </w:rPr>
        <w:t>Вместе с тем в зависимости от уровня индикаторы могут существенно различаться. Так, национальная статистика рассчитывает такой важнейший показатель, как уровень бедности только на уровне страны и областей. На местном уровне данный тип индикатора не рассчитывается.</w:t>
      </w:r>
    </w:p>
    <w:p w:rsidR="00FD5721" w:rsidRDefault="00FD5721" w:rsidP="00FD5721">
      <w:pPr>
        <w:spacing w:before="120" w:after="0"/>
        <w:ind w:firstLine="709"/>
        <w:jc w:val="both"/>
        <w:rPr>
          <w:rFonts w:ascii="Arial" w:hAnsi="Arial" w:cs="Arial"/>
          <w:sz w:val="24"/>
          <w:szCs w:val="24"/>
        </w:rPr>
      </w:pPr>
    </w:p>
    <w:p w:rsidR="00FE47A2" w:rsidRPr="00596CBB" w:rsidRDefault="00596CBB" w:rsidP="00FD5721">
      <w:pPr>
        <w:spacing w:before="120" w:after="0"/>
        <w:ind w:firstLine="709"/>
        <w:jc w:val="both"/>
        <w:rPr>
          <w:rFonts w:ascii="Arial" w:hAnsi="Arial" w:cs="Arial"/>
          <w:sz w:val="24"/>
          <w:szCs w:val="24"/>
        </w:rPr>
      </w:pPr>
      <w:r w:rsidRPr="00596CBB">
        <w:rPr>
          <w:rFonts w:ascii="Arial" w:hAnsi="Arial" w:cs="Arial"/>
          <w:sz w:val="24"/>
          <w:szCs w:val="24"/>
        </w:rPr>
        <w:t xml:space="preserve">Сбором, обработкой, хранением и распространением значительной части показателей </w:t>
      </w:r>
      <w:r w:rsidRPr="00596CBB">
        <w:rPr>
          <w:rFonts w:ascii="Arial" w:hAnsi="Arial" w:cs="Arial"/>
          <w:b/>
          <w:sz w:val="24"/>
          <w:szCs w:val="24"/>
        </w:rPr>
        <w:t xml:space="preserve">Матрицы национальных индикаторов </w:t>
      </w:r>
      <w:r w:rsidRPr="00596CBB">
        <w:rPr>
          <w:rFonts w:ascii="Arial" w:hAnsi="Arial" w:cs="Arial"/>
          <w:b/>
          <w:sz w:val="24"/>
          <w:szCs w:val="24"/>
          <w:lang w:bidi="en-US"/>
        </w:rPr>
        <w:t xml:space="preserve">«зеленого» роста </w:t>
      </w:r>
      <w:r w:rsidRPr="00596CBB">
        <w:rPr>
          <w:rFonts w:ascii="Arial" w:hAnsi="Arial" w:cs="Arial"/>
          <w:b/>
          <w:sz w:val="24"/>
          <w:szCs w:val="24"/>
        </w:rPr>
        <w:t>(47 показателей из 65)</w:t>
      </w:r>
      <w:r w:rsidRPr="00596CBB">
        <w:rPr>
          <w:rFonts w:ascii="Arial" w:hAnsi="Arial" w:cs="Arial"/>
          <w:sz w:val="24"/>
          <w:szCs w:val="24"/>
        </w:rPr>
        <w:t xml:space="preserve"> занимается Национальный</w:t>
      </w:r>
      <w:r w:rsidR="00592258">
        <w:rPr>
          <w:rFonts w:ascii="Arial" w:hAnsi="Arial" w:cs="Arial"/>
          <w:sz w:val="24"/>
          <w:szCs w:val="24"/>
        </w:rPr>
        <w:t xml:space="preserve"> </w:t>
      </w:r>
      <w:r w:rsidR="00FE47A2" w:rsidRPr="00596CBB">
        <w:rPr>
          <w:rFonts w:ascii="Arial" w:hAnsi="Arial" w:cs="Arial"/>
          <w:sz w:val="24"/>
          <w:szCs w:val="24"/>
        </w:rPr>
        <w:t>статистический комитет Кыргызской Республики (НСК).</w:t>
      </w:r>
      <w:r w:rsidR="008E70F8" w:rsidRPr="00596CBB">
        <w:rPr>
          <w:rFonts w:ascii="Arial" w:hAnsi="Arial" w:cs="Arial"/>
          <w:sz w:val="24"/>
          <w:szCs w:val="24"/>
        </w:rPr>
        <w:t xml:space="preserve"> </w:t>
      </w:r>
    </w:p>
    <w:p w:rsidR="008E70F8" w:rsidRPr="00596CBB" w:rsidRDefault="00FE47A2" w:rsidP="00FD5721">
      <w:pPr>
        <w:spacing w:before="120" w:after="0"/>
        <w:ind w:firstLine="709"/>
        <w:jc w:val="both"/>
        <w:rPr>
          <w:rFonts w:ascii="Arial" w:hAnsi="Arial" w:cs="Arial"/>
          <w:sz w:val="24"/>
          <w:szCs w:val="24"/>
        </w:rPr>
      </w:pPr>
      <w:r w:rsidRPr="00596CBB">
        <w:rPr>
          <w:rFonts w:ascii="Arial" w:hAnsi="Arial" w:cs="Arial"/>
          <w:sz w:val="24"/>
          <w:szCs w:val="24"/>
        </w:rPr>
        <w:t xml:space="preserve">Все </w:t>
      </w:r>
      <w:r w:rsidR="008E70F8" w:rsidRPr="00596CBB">
        <w:rPr>
          <w:rFonts w:ascii="Arial" w:hAnsi="Arial" w:cs="Arial"/>
          <w:sz w:val="24"/>
          <w:szCs w:val="24"/>
        </w:rPr>
        <w:t>м</w:t>
      </w:r>
      <w:r w:rsidRPr="00596CBB">
        <w:rPr>
          <w:rFonts w:ascii="Arial" w:hAnsi="Arial" w:cs="Arial"/>
          <w:sz w:val="24"/>
          <w:szCs w:val="24"/>
        </w:rPr>
        <w:t xml:space="preserve">инистерства и ведомства, вовлечённые в процесс мониторинга </w:t>
      </w:r>
      <w:r w:rsidRPr="00596CBB">
        <w:rPr>
          <w:rFonts w:ascii="Arial" w:hAnsi="Arial" w:cs="Arial"/>
          <w:sz w:val="24"/>
          <w:szCs w:val="24"/>
          <w:lang w:bidi="en-US"/>
        </w:rPr>
        <w:t xml:space="preserve">индикаторов «зеленого» роста </w:t>
      </w:r>
      <w:r w:rsidRPr="00596CBB">
        <w:rPr>
          <w:rFonts w:ascii="Arial" w:hAnsi="Arial" w:cs="Arial"/>
          <w:sz w:val="24"/>
          <w:szCs w:val="24"/>
        </w:rPr>
        <w:t xml:space="preserve">в Кыргызской Республике будут предоставлять данные по своим индикаторам в </w:t>
      </w:r>
      <w:r w:rsidR="008E70F8" w:rsidRPr="00596CBB">
        <w:rPr>
          <w:rFonts w:ascii="Arial" w:hAnsi="Arial" w:cs="Arial"/>
          <w:sz w:val="24"/>
          <w:szCs w:val="24"/>
        </w:rPr>
        <w:t>Министерство экономики</w:t>
      </w:r>
      <w:r w:rsidRPr="00596CBB">
        <w:rPr>
          <w:rFonts w:ascii="Arial" w:hAnsi="Arial" w:cs="Arial"/>
          <w:sz w:val="24"/>
          <w:szCs w:val="24"/>
        </w:rPr>
        <w:t xml:space="preserve"> в соответствии </w:t>
      </w:r>
    </w:p>
    <w:p w:rsidR="00FE47A2" w:rsidRPr="00596CBB" w:rsidRDefault="00FE47A2" w:rsidP="00FD5721">
      <w:pPr>
        <w:spacing w:before="120" w:after="0"/>
        <w:ind w:firstLine="709"/>
        <w:jc w:val="both"/>
        <w:rPr>
          <w:rFonts w:ascii="Arial" w:hAnsi="Arial" w:cs="Arial"/>
          <w:sz w:val="24"/>
          <w:szCs w:val="24"/>
        </w:rPr>
      </w:pPr>
      <w:r w:rsidRPr="00596CBB">
        <w:rPr>
          <w:rFonts w:ascii="Arial" w:hAnsi="Arial" w:cs="Arial"/>
          <w:sz w:val="24"/>
          <w:szCs w:val="24"/>
        </w:rPr>
        <w:t xml:space="preserve">Таким образом, основным поставщиком информации по показателям Матрицы индикаторов «зеленого» роста является Национальный статистический комитет </w:t>
      </w:r>
      <w:proofErr w:type="gramStart"/>
      <w:r w:rsidRPr="00596CBB">
        <w:rPr>
          <w:rFonts w:ascii="Arial" w:hAnsi="Arial" w:cs="Arial"/>
          <w:sz w:val="24"/>
          <w:szCs w:val="24"/>
        </w:rPr>
        <w:t>КР</w:t>
      </w:r>
      <w:proofErr w:type="gramEnd"/>
      <w:r w:rsidRPr="00596CBB">
        <w:rPr>
          <w:rFonts w:ascii="Arial" w:hAnsi="Arial" w:cs="Arial"/>
          <w:sz w:val="24"/>
          <w:szCs w:val="24"/>
        </w:rPr>
        <w:t xml:space="preserve"> с территориальными органами государственной статистики</w:t>
      </w:r>
      <w:r w:rsidR="00407418" w:rsidRPr="00596CBB">
        <w:rPr>
          <w:rFonts w:ascii="Arial" w:hAnsi="Arial" w:cs="Arial"/>
          <w:sz w:val="24"/>
          <w:szCs w:val="24"/>
        </w:rPr>
        <w:t xml:space="preserve">. </w:t>
      </w:r>
    </w:p>
    <w:p w:rsidR="00FE47A2" w:rsidRPr="00596CBB" w:rsidRDefault="00FE47A2" w:rsidP="00FD5721">
      <w:pPr>
        <w:spacing w:before="120" w:after="0"/>
        <w:ind w:firstLine="709"/>
        <w:jc w:val="both"/>
        <w:rPr>
          <w:rFonts w:ascii="Arial" w:hAnsi="Arial" w:cs="Arial"/>
          <w:b/>
          <w:sz w:val="24"/>
          <w:szCs w:val="24"/>
        </w:rPr>
      </w:pPr>
      <w:r w:rsidRPr="00596CBB">
        <w:rPr>
          <w:rFonts w:ascii="Arial" w:hAnsi="Arial" w:cs="Arial"/>
          <w:b/>
          <w:sz w:val="24"/>
          <w:szCs w:val="24"/>
        </w:rPr>
        <w:t xml:space="preserve">Мониторинг </w:t>
      </w:r>
      <w:r w:rsidRPr="00596CBB">
        <w:rPr>
          <w:rFonts w:ascii="Arial" w:hAnsi="Arial" w:cs="Arial"/>
          <w:b/>
          <w:sz w:val="24"/>
          <w:szCs w:val="24"/>
          <w:lang w:bidi="en-US"/>
        </w:rPr>
        <w:t xml:space="preserve">индикаторов «зеленого» роста </w:t>
      </w:r>
      <w:r w:rsidRPr="00596CBB">
        <w:rPr>
          <w:rFonts w:ascii="Arial" w:hAnsi="Arial" w:cs="Arial"/>
          <w:b/>
          <w:sz w:val="24"/>
          <w:szCs w:val="24"/>
        </w:rPr>
        <w:t>будет проводиться на годовой основе, по итогам года.</w:t>
      </w:r>
    </w:p>
    <w:p w:rsidR="00FE47A2" w:rsidRPr="00596CBB" w:rsidRDefault="00407418" w:rsidP="00FD5721">
      <w:pPr>
        <w:spacing w:before="120" w:after="0"/>
        <w:ind w:firstLine="709"/>
        <w:jc w:val="both"/>
        <w:rPr>
          <w:rFonts w:ascii="Arial" w:hAnsi="Arial" w:cs="Arial"/>
          <w:sz w:val="24"/>
          <w:szCs w:val="24"/>
        </w:rPr>
      </w:pPr>
      <w:r w:rsidRPr="00596CBB">
        <w:rPr>
          <w:rFonts w:ascii="Arial" w:hAnsi="Arial" w:cs="Arial"/>
          <w:sz w:val="24"/>
          <w:szCs w:val="24"/>
        </w:rPr>
        <w:t>Д</w:t>
      </w:r>
      <w:r w:rsidR="00FE47A2" w:rsidRPr="00596CBB">
        <w:rPr>
          <w:rFonts w:ascii="Arial" w:hAnsi="Arial" w:cs="Arial"/>
          <w:sz w:val="24"/>
          <w:szCs w:val="24"/>
        </w:rPr>
        <w:t>ля обеспечения прозрачности м</w:t>
      </w:r>
      <w:r w:rsidR="00FE47A2" w:rsidRPr="00596CBB">
        <w:rPr>
          <w:rFonts w:ascii="Arial" w:hAnsi="Arial" w:cs="Arial"/>
          <w:color w:val="000000"/>
          <w:sz w:val="24"/>
          <w:szCs w:val="24"/>
        </w:rPr>
        <w:t xml:space="preserve">ониторинг и оценка индикаторов </w:t>
      </w:r>
      <w:r w:rsidR="00FE47A2" w:rsidRPr="00596CBB">
        <w:rPr>
          <w:rFonts w:ascii="Arial" w:hAnsi="Arial" w:cs="Arial"/>
          <w:sz w:val="24"/>
          <w:szCs w:val="24"/>
        </w:rPr>
        <w:t xml:space="preserve">«зеленого» роста </w:t>
      </w:r>
      <w:r w:rsidR="00FE47A2" w:rsidRPr="00596CBB">
        <w:rPr>
          <w:rFonts w:ascii="Arial" w:hAnsi="Arial" w:cs="Arial"/>
          <w:color w:val="000000"/>
          <w:sz w:val="24"/>
          <w:szCs w:val="24"/>
        </w:rPr>
        <w:t>в Кыргызской Республике будет проводиться с участием заинтересованных сторон гражданского общества. И</w:t>
      </w:r>
      <w:r w:rsidR="00FE47A2" w:rsidRPr="00596CBB">
        <w:rPr>
          <w:rFonts w:ascii="Arial" w:hAnsi="Arial" w:cs="Arial"/>
          <w:sz w:val="24"/>
          <w:szCs w:val="24"/>
        </w:rPr>
        <w:t>нституционально, этот процесс намечено построить через создание как минимум двух альтернативных каналов информации: (i) государственного (официального) и (</w:t>
      </w:r>
      <w:proofErr w:type="spellStart"/>
      <w:r w:rsidR="00FE47A2" w:rsidRPr="00596CBB">
        <w:rPr>
          <w:rFonts w:ascii="Arial" w:hAnsi="Arial" w:cs="Arial"/>
          <w:sz w:val="24"/>
          <w:szCs w:val="24"/>
        </w:rPr>
        <w:t>ii</w:t>
      </w:r>
      <w:proofErr w:type="spellEnd"/>
      <w:r w:rsidR="00FE47A2" w:rsidRPr="00596CBB">
        <w:rPr>
          <w:rFonts w:ascii="Arial" w:hAnsi="Arial" w:cs="Arial"/>
          <w:sz w:val="24"/>
          <w:szCs w:val="24"/>
        </w:rPr>
        <w:t xml:space="preserve">) негосударственного (внешнего), представляющего результаты мониторинга и </w:t>
      </w:r>
      <w:r w:rsidR="00FE47A2" w:rsidRPr="00596CBB">
        <w:rPr>
          <w:rFonts w:ascii="Arial" w:hAnsi="Arial" w:cs="Arial"/>
          <w:sz w:val="24"/>
          <w:szCs w:val="24"/>
        </w:rPr>
        <w:lastRenderedPageBreak/>
        <w:t xml:space="preserve">оценки «зеленого» роста развития заинтересованными группами гражданского сектора. </w:t>
      </w:r>
    </w:p>
    <w:p w:rsidR="00FE47A2" w:rsidRPr="00596CBB" w:rsidRDefault="00FE47A2" w:rsidP="00FD5721">
      <w:pPr>
        <w:shd w:val="clear" w:color="auto" w:fill="FFFFFF"/>
        <w:tabs>
          <w:tab w:val="left" w:pos="709"/>
        </w:tabs>
        <w:spacing w:before="120" w:after="0"/>
        <w:ind w:firstLine="709"/>
        <w:jc w:val="both"/>
        <w:rPr>
          <w:rFonts w:ascii="Arial" w:hAnsi="Arial" w:cs="Arial"/>
          <w:sz w:val="24"/>
          <w:szCs w:val="24"/>
        </w:rPr>
      </w:pPr>
      <w:r w:rsidRPr="00596CBB">
        <w:rPr>
          <w:rFonts w:ascii="Arial" w:hAnsi="Arial" w:cs="Arial"/>
          <w:sz w:val="24"/>
          <w:szCs w:val="24"/>
        </w:rPr>
        <w:t>Источниками данных для внешнего мониторинга и оценки, проводимого группами независимых экспертов, могут быть как официальные каналы, так и независимые исследования, анализ и оценка. При этом у политических лиц страны появится возможность альтернативы выбора данных из официальных и неофициальных источников.</w:t>
      </w:r>
    </w:p>
    <w:p w:rsidR="00FE47A2" w:rsidRPr="00596CBB" w:rsidRDefault="00FE47A2" w:rsidP="00FD5721">
      <w:pPr>
        <w:shd w:val="clear" w:color="auto" w:fill="FFFFFF"/>
        <w:tabs>
          <w:tab w:val="left" w:pos="709"/>
        </w:tabs>
        <w:spacing w:before="120" w:after="0"/>
        <w:ind w:firstLine="709"/>
        <w:jc w:val="both"/>
        <w:rPr>
          <w:rFonts w:ascii="Arial" w:hAnsi="Arial" w:cs="Arial"/>
          <w:sz w:val="24"/>
          <w:szCs w:val="24"/>
        </w:rPr>
      </w:pPr>
      <w:r w:rsidRPr="00596CBB">
        <w:rPr>
          <w:rFonts w:ascii="Arial" w:hAnsi="Arial" w:cs="Arial"/>
          <w:sz w:val="24"/>
          <w:szCs w:val="24"/>
        </w:rPr>
        <w:t xml:space="preserve">В целом, скоординированные усилия официальных структур, гражданского сектора и донорского сообщества должны стать залогом успеха и объективности в проведении мониторинга и оценки «зеленого» роста в Кыргызской Республике. </w:t>
      </w:r>
    </w:p>
    <w:p w:rsidR="00520783" w:rsidRPr="00C56DB7" w:rsidRDefault="00592258" w:rsidP="00FD5721">
      <w:pPr>
        <w:spacing w:after="0"/>
        <w:ind w:firstLine="709"/>
        <w:jc w:val="both"/>
        <w:rPr>
          <w:rFonts w:ascii="Arial" w:hAnsi="Arial" w:cs="Arial"/>
          <w:sz w:val="24"/>
          <w:szCs w:val="24"/>
        </w:rPr>
      </w:pPr>
      <w:r>
        <w:rPr>
          <w:rFonts w:ascii="Arial" w:hAnsi="Arial" w:cs="Arial"/>
          <w:sz w:val="24"/>
          <w:szCs w:val="24"/>
        </w:rPr>
        <w:t>В настоящее время министерством экономики при поддержке</w:t>
      </w:r>
      <w:proofErr w:type="gramStart"/>
      <w:r>
        <w:rPr>
          <w:rFonts w:ascii="Arial" w:hAnsi="Arial" w:cs="Arial"/>
          <w:sz w:val="24"/>
          <w:szCs w:val="24"/>
        </w:rPr>
        <w:t xml:space="preserve"> </w:t>
      </w:r>
      <w:r w:rsidR="00520783" w:rsidRPr="00C56DB7">
        <w:rPr>
          <w:rFonts w:ascii="Arial" w:hAnsi="Arial" w:cs="Arial"/>
          <w:sz w:val="24"/>
          <w:szCs w:val="24"/>
        </w:rPr>
        <w:t>В</w:t>
      </w:r>
      <w:proofErr w:type="gramEnd"/>
      <w:r w:rsidR="00520783" w:rsidRPr="00C56DB7">
        <w:rPr>
          <w:rFonts w:ascii="Arial" w:hAnsi="Arial" w:cs="Arial"/>
          <w:sz w:val="24"/>
          <w:szCs w:val="24"/>
        </w:rPr>
        <w:t>о исполнение поручения вице-премьер-министра Кыргызской Республики О.М. Панкратова № 16-13607 от 10.05.2017 г. относительно  проведения обучающих семинаров по Матрице индикаторов мониторинга и оценки прогресса перехода Кыргызской Республики к устойчивому развитию для государственных органов (Индикаторы «зеленого роста»), сообщаем следующее.</w:t>
      </w:r>
    </w:p>
    <w:p w:rsidR="00520783" w:rsidRPr="00C56DB7" w:rsidRDefault="00520783" w:rsidP="00FD5721">
      <w:pPr>
        <w:spacing w:after="0"/>
        <w:ind w:firstLine="709"/>
        <w:jc w:val="both"/>
        <w:rPr>
          <w:rFonts w:ascii="Arial" w:hAnsi="Arial" w:cs="Arial"/>
          <w:sz w:val="24"/>
          <w:szCs w:val="24"/>
        </w:rPr>
      </w:pPr>
      <w:r w:rsidRPr="00C56DB7">
        <w:rPr>
          <w:rFonts w:ascii="Arial" w:hAnsi="Arial" w:cs="Arial"/>
          <w:sz w:val="24"/>
          <w:szCs w:val="24"/>
        </w:rPr>
        <w:t xml:space="preserve">В целях детального изучения и дальнейшего внедрения в управлении Индикаторов «зеленого роста» 27 и 28 сентября 2017 года Министерством экономики КР совместно с Национальным статистическим комитетом КР при поддержке инициативы ПРООН-ЮНЕП «Бедность и окружающая среда»  были проведены обучающие семинары для представителей государственных органов на тему: «Обучение </w:t>
      </w:r>
      <w:proofErr w:type="spellStart"/>
      <w:r w:rsidRPr="00C56DB7">
        <w:rPr>
          <w:rFonts w:ascii="Arial" w:hAnsi="Arial" w:cs="Arial"/>
          <w:sz w:val="24"/>
          <w:szCs w:val="24"/>
        </w:rPr>
        <w:t>стейкхолдеров</w:t>
      </w:r>
      <w:bookmarkStart w:id="0" w:name="_GoBack"/>
      <w:bookmarkEnd w:id="0"/>
      <w:proofErr w:type="spellEnd"/>
      <w:r w:rsidRPr="00C56DB7">
        <w:rPr>
          <w:rFonts w:ascii="Arial" w:hAnsi="Arial" w:cs="Arial"/>
          <w:sz w:val="24"/>
          <w:szCs w:val="24"/>
        </w:rPr>
        <w:t xml:space="preserve"> по Матрице индикаторов мониторинга и оценки прогресса перехода Кыргызской Республики к устойчивому развитию» (далее – Матрица ИЗР).</w:t>
      </w:r>
    </w:p>
    <w:p w:rsidR="00520783" w:rsidRPr="00C56DB7" w:rsidRDefault="00520783" w:rsidP="00FD5721">
      <w:pPr>
        <w:spacing w:after="0"/>
        <w:ind w:firstLine="709"/>
        <w:jc w:val="both"/>
        <w:rPr>
          <w:rFonts w:ascii="Arial" w:hAnsi="Arial" w:cs="Arial"/>
          <w:sz w:val="24"/>
          <w:szCs w:val="24"/>
        </w:rPr>
      </w:pPr>
      <w:r w:rsidRPr="00C56DB7">
        <w:rPr>
          <w:rFonts w:ascii="Arial" w:hAnsi="Arial" w:cs="Arial"/>
          <w:sz w:val="24"/>
          <w:szCs w:val="24"/>
        </w:rPr>
        <w:t xml:space="preserve">Представителями Национального статистического комитета </w:t>
      </w:r>
      <w:proofErr w:type="gramStart"/>
      <w:r w:rsidRPr="00C56DB7">
        <w:rPr>
          <w:rFonts w:ascii="Arial" w:hAnsi="Arial" w:cs="Arial"/>
          <w:sz w:val="24"/>
          <w:szCs w:val="24"/>
        </w:rPr>
        <w:t>КР</w:t>
      </w:r>
      <w:proofErr w:type="gramEnd"/>
      <w:r w:rsidRPr="00C56DB7">
        <w:rPr>
          <w:rFonts w:ascii="Arial" w:hAnsi="Arial" w:cs="Arial"/>
          <w:sz w:val="24"/>
          <w:szCs w:val="24"/>
        </w:rPr>
        <w:t xml:space="preserve"> были проведены презентации о проводимой в Кыргызской Республике работе в области ЦУР, а также детально освещены 65 Индикаторов «зеле</w:t>
      </w:r>
      <w:r w:rsidR="00C56DB7">
        <w:rPr>
          <w:rFonts w:ascii="Arial" w:hAnsi="Arial" w:cs="Arial"/>
          <w:sz w:val="24"/>
          <w:szCs w:val="24"/>
        </w:rPr>
        <w:t xml:space="preserve">ного роста»,  сгруппированные в 5 блоков. </w:t>
      </w:r>
      <w:proofErr w:type="gramStart"/>
      <w:r w:rsidR="00C56DB7">
        <w:rPr>
          <w:rFonts w:ascii="Arial" w:hAnsi="Arial" w:cs="Arial"/>
          <w:sz w:val="24"/>
          <w:szCs w:val="24"/>
        </w:rPr>
        <w:t xml:space="preserve">В настоящее время </w:t>
      </w:r>
      <w:r w:rsidR="00FD5721">
        <w:rPr>
          <w:rFonts w:ascii="Arial" w:hAnsi="Arial" w:cs="Arial"/>
          <w:sz w:val="24"/>
          <w:szCs w:val="24"/>
        </w:rPr>
        <w:t xml:space="preserve">министерством экономики на основе проведенного </w:t>
      </w:r>
      <w:r w:rsidRPr="00C56DB7">
        <w:rPr>
          <w:rFonts w:ascii="Arial" w:hAnsi="Arial" w:cs="Arial"/>
          <w:sz w:val="24"/>
          <w:szCs w:val="24"/>
        </w:rPr>
        <w:t>о</w:t>
      </w:r>
      <w:r w:rsidR="00FD5721">
        <w:rPr>
          <w:rFonts w:ascii="Arial" w:hAnsi="Arial" w:cs="Arial"/>
          <w:sz w:val="24"/>
          <w:szCs w:val="24"/>
        </w:rPr>
        <w:t xml:space="preserve">бучения направлен запрос </w:t>
      </w:r>
      <w:r w:rsidR="00FD5721" w:rsidRPr="00C56DB7">
        <w:rPr>
          <w:rFonts w:ascii="Arial" w:hAnsi="Arial" w:cs="Arial"/>
          <w:sz w:val="24"/>
          <w:szCs w:val="24"/>
        </w:rPr>
        <w:t>в адрес государственных органов</w:t>
      </w:r>
      <w:r w:rsidR="00FD5721">
        <w:rPr>
          <w:rFonts w:ascii="Arial" w:hAnsi="Arial" w:cs="Arial"/>
          <w:sz w:val="24"/>
          <w:szCs w:val="24"/>
        </w:rPr>
        <w:t xml:space="preserve"> по предварительному сбору </w:t>
      </w:r>
      <w:r w:rsidRPr="00C56DB7">
        <w:rPr>
          <w:rFonts w:ascii="Arial" w:hAnsi="Arial" w:cs="Arial"/>
          <w:sz w:val="24"/>
          <w:szCs w:val="24"/>
        </w:rPr>
        <w:t>информации о достижении</w:t>
      </w:r>
      <w:proofErr w:type="gramEnd"/>
      <w:r w:rsidRPr="00C56DB7">
        <w:rPr>
          <w:rFonts w:ascii="Arial" w:hAnsi="Arial" w:cs="Arial"/>
          <w:sz w:val="24"/>
          <w:szCs w:val="24"/>
        </w:rPr>
        <w:t xml:space="preserve">  показателей по индикаторам мониторинга и оценки прогресса перехода Кыргызской Республики к устойчивому развитию, по итогам 2016 года и определению целевых показателей по индикаторам на 2018-2020 годы.</w:t>
      </w:r>
    </w:p>
    <w:p w:rsidR="00407418" w:rsidRPr="00596CBB" w:rsidRDefault="00407418" w:rsidP="00FD5721">
      <w:pPr>
        <w:shd w:val="clear" w:color="auto" w:fill="FFFFFF"/>
        <w:tabs>
          <w:tab w:val="left" w:pos="709"/>
        </w:tabs>
        <w:spacing w:before="120" w:after="0"/>
        <w:ind w:firstLine="709"/>
        <w:jc w:val="both"/>
        <w:rPr>
          <w:rFonts w:ascii="Arial" w:hAnsi="Arial" w:cs="Arial"/>
          <w:sz w:val="24"/>
          <w:szCs w:val="24"/>
        </w:rPr>
      </w:pPr>
    </w:p>
    <w:sectPr w:rsidR="00407418" w:rsidRPr="00596C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A2" w:rsidRDefault="00A175A2" w:rsidP="00FE47A2">
      <w:pPr>
        <w:spacing w:after="0" w:line="240" w:lineRule="auto"/>
      </w:pPr>
      <w:r>
        <w:separator/>
      </w:r>
    </w:p>
  </w:endnote>
  <w:endnote w:type="continuationSeparator" w:id="0">
    <w:p w:rsidR="00A175A2" w:rsidRDefault="00A175A2" w:rsidP="00FE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A2" w:rsidRDefault="00A175A2" w:rsidP="00FE47A2">
      <w:pPr>
        <w:spacing w:after="0" w:line="240" w:lineRule="auto"/>
      </w:pPr>
      <w:r>
        <w:separator/>
      </w:r>
    </w:p>
  </w:footnote>
  <w:footnote w:type="continuationSeparator" w:id="0">
    <w:p w:rsidR="00A175A2" w:rsidRDefault="00A175A2" w:rsidP="00FE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1004D2"/>
    <w:lvl w:ilvl="0">
      <w:start w:val="1"/>
      <w:numFmt w:val="bullet"/>
      <w:pStyle w:val="2"/>
      <w:lvlText w:val=""/>
      <w:lvlJc w:val="left"/>
      <w:pPr>
        <w:tabs>
          <w:tab w:val="num" w:pos="643"/>
        </w:tabs>
        <w:ind w:left="643" w:hanging="360"/>
      </w:pPr>
      <w:rPr>
        <w:rFonts w:ascii="Symbol" w:hAnsi="Symbol" w:hint="default"/>
      </w:rPr>
    </w:lvl>
  </w:abstractNum>
  <w:abstractNum w:abstractNumId="1">
    <w:nsid w:val="07F90F62"/>
    <w:multiLevelType w:val="singleLevel"/>
    <w:tmpl w:val="0826DCFA"/>
    <w:name w:val="templateBullet1"/>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2">
    <w:nsid w:val="0D214CC7"/>
    <w:multiLevelType w:val="hybridMultilevel"/>
    <w:tmpl w:val="36F6E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81613"/>
    <w:multiLevelType w:val="hybridMultilevel"/>
    <w:tmpl w:val="F9642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630D3"/>
    <w:multiLevelType w:val="hybridMultilevel"/>
    <w:tmpl w:val="36F6E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E7942"/>
    <w:multiLevelType w:val="hybridMultilevel"/>
    <w:tmpl w:val="63C8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51846"/>
    <w:multiLevelType w:val="multilevel"/>
    <w:tmpl w:val="10DC35F4"/>
    <w:lvl w:ilvl="0">
      <w:start w:val="1"/>
      <w:numFmt w:val="decimal"/>
      <w:lvlText w:val="%1."/>
      <w:lvlJc w:val="left"/>
      <w:pPr>
        <w:ind w:left="1080" w:hanging="360"/>
      </w:p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7344D76"/>
    <w:multiLevelType w:val="hybridMultilevel"/>
    <w:tmpl w:val="DA30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E193C"/>
    <w:multiLevelType w:val="hybridMultilevel"/>
    <w:tmpl w:val="893EAC54"/>
    <w:lvl w:ilvl="0" w:tplc="0A68743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B2914"/>
    <w:multiLevelType w:val="hybridMultilevel"/>
    <w:tmpl w:val="54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14B99"/>
    <w:multiLevelType w:val="hybridMultilevel"/>
    <w:tmpl w:val="01708878"/>
    <w:lvl w:ilvl="0" w:tplc="0A68743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C2B4D"/>
    <w:multiLevelType w:val="hybridMultilevel"/>
    <w:tmpl w:val="037AB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B3BD5"/>
    <w:multiLevelType w:val="hybridMultilevel"/>
    <w:tmpl w:val="A3D6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5764E"/>
    <w:multiLevelType w:val="hybridMultilevel"/>
    <w:tmpl w:val="BEB22DD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4">
    <w:nsid w:val="44C863FD"/>
    <w:multiLevelType w:val="hybridMultilevel"/>
    <w:tmpl w:val="6E16C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D0898"/>
    <w:multiLevelType w:val="hybridMultilevel"/>
    <w:tmpl w:val="A3D6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36C8B"/>
    <w:multiLevelType w:val="hybridMultilevel"/>
    <w:tmpl w:val="4046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A4D79"/>
    <w:multiLevelType w:val="hybridMultilevel"/>
    <w:tmpl w:val="0A88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36FB3"/>
    <w:multiLevelType w:val="hybridMultilevel"/>
    <w:tmpl w:val="B8C2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E04A5"/>
    <w:multiLevelType w:val="hybridMultilevel"/>
    <w:tmpl w:val="F4285FE6"/>
    <w:lvl w:ilvl="0" w:tplc="1E3EB31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8356EA"/>
    <w:multiLevelType w:val="hybridMultilevel"/>
    <w:tmpl w:val="38046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5E3833"/>
    <w:multiLevelType w:val="hybridMultilevel"/>
    <w:tmpl w:val="6816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1180"/>
    <w:multiLevelType w:val="hybridMultilevel"/>
    <w:tmpl w:val="08B67FB8"/>
    <w:lvl w:ilvl="0" w:tplc="08090001">
      <w:start w:val="1"/>
      <w:numFmt w:val="bullet"/>
      <w:lvlText w:val=""/>
      <w:lvlJc w:val="left"/>
      <w:pPr>
        <w:ind w:left="720" w:hanging="360"/>
      </w:pPr>
      <w:rPr>
        <w:rFonts w:ascii="Symbol" w:hAnsi="Symbol" w:hint="default"/>
      </w:rPr>
    </w:lvl>
    <w:lvl w:ilvl="1" w:tplc="2FA8C98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9"/>
  </w:num>
  <w:num w:numId="5">
    <w:abstractNumId w:val="14"/>
  </w:num>
  <w:num w:numId="6">
    <w:abstractNumId w:val="1"/>
  </w:num>
  <w:num w:numId="7">
    <w:abstractNumId w:val="5"/>
  </w:num>
  <w:num w:numId="8">
    <w:abstractNumId w:val="0"/>
  </w:num>
  <w:num w:numId="9">
    <w:abstractNumId w:val="22"/>
  </w:num>
  <w:num w:numId="10">
    <w:abstractNumId w:val="13"/>
  </w:num>
  <w:num w:numId="11">
    <w:abstractNumId w:val="19"/>
  </w:num>
  <w:num w:numId="12">
    <w:abstractNumId w:val="15"/>
  </w:num>
  <w:num w:numId="13">
    <w:abstractNumId w:val="10"/>
  </w:num>
  <w:num w:numId="14">
    <w:abstractNumId w:val="18"/>
  </w:num>
  <w:num w:numId="15">
    <w:abstractNumId w:val="8"/>
  </w:num>
  <w:num w:numId="16">
    <w:abstractNumId w:val="17"/>
  </w:num>
  <w:num w:numId="17">
    <w:abstractNumId w:val="16"/>
  </w:num>
  <w:num w:numId="18">
    <w:abstractNumId w:val="3"/>
  </w:num>
  <w:num w:numId="19">
    <w:abstractNumId w:val="11"/>
  </w:num>
  <w:num w:numId="20">
    <w:abstractNumId w:val="4"/>
  </w:num>
  <w:num w:numId="21">
    <w:abstractNumId w:val="2"/>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D1"/>
    <w:rsid w:val="000723B8"/>
    <w:rsid w:val="000907AC"/>
    <w:rsid w:val="000F4BE4"/>
    <w:rsid w:val="001238BA"/>
    <w:rsid w:val="002007AC"/>
    <w:rsid w:val="00255BF6"/>
    <w:rsid w:val="00262293"/>
    <w:rsid w:val="002D2C4E"/>
    <w:rsid w:val="00361D0A"/>
    <w:rsid w:val="003A455D"/>
    <w:rsid w:val="003B0AFE"/>
    <w:rsid w:val="00407418"/>
    <w:rsid w:val="00412D40"/>
    <w:rsid w:val="00506BBF"/>
    <w:rsid w:val="005137C2"/>
    <w:rsid w:val="00520783"/>
    <w:rsid w:val="00546D3E"/>
    <w:rsid w:val="00592258"/>
    <w:rsid w:val="00596CBB"/>
    <w:rsid w:val="006312D5"/>
    <w:rsid w:val="006E4E27"/>
    <w:rsid w:val="00742304"/>
    <w:rsid w:val="00757757"/>
    <w:rsid w:val="00764C3A"/>
    <w:rsid w:val="007E79C7"/>
    <w:rsid w:val="00865873"/>
    <w:rsid w:val="00866396"/>
    <w:rsid w:val="00891C0D"/>
    <w:rsid w:val="008A5DB2"/>
    <w:rsid w:val="008E70F8"/>
    <w:rsid w:val="008F4CD1"/>
    <w:rsid w:val="00A04634"/>
    <w:rsid w:val="00A1165A"/>
    <w:rsid w:val="00A175A2"/>
    <w:rsid w:val="00A22BD8"/>
    <w:rsid w:val="00AB4A9C"/>
    <w:rsid w:val="00AC419B"/>
    <w:rsid w:val="00B951DF"/>
    <w:rsid w:val="00C56DB7"/>
    <w:rsid w:val="00DD0EE0"/>
    <w:rsid w:val="00E83BF8"/>
    <w:rsid w:val="00EB6023"/>
    <w:rsid w:val="00EF4E12"/>
    <w:rsid w:val="00F42819"/>
    <w:rsid w:val="00FD5721"/>
    <w:rsid w:val="00FE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E47A2"/>
    <w:pPr>
      <w:keepNext/>
      <w:keepLines/>
      <w:spacing w:before="480" w:after="120"/>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20">
    <w:name w:val="heading 2"/>
    <w:basedOn w:val="a0"/>
    <w:next w:val="a0"/>
    <w:link w:val="21"/>
    <w:uiPriority w:val="9"/>
    <w:unhideWhenUsed/>
    <w:qFormat/>
    <w:rsid w:val="00FE47A2"/>
    <w:pPr>
      <w:keepNext/>
      <w:keepLines/>
      <w:spacing w:before="200" w:after="120" w:line="240" w:lineRule="auto"/>
      <w:jc w:val="both"/>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unhideWhenUsed/>
    <w:qFormat/>
    <w:rsid w:val="00FE47A2"/>
    <w:pPr>
      <w:keepNext/>
      <w:keepLines/>
      <w:spacing w:before="200" w:after="120" w:line="240" w:lineRule="auto"/>
      <w:jc w:val="both"/>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F4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8F4CD1"/>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0"/>
    <w:uiPriority w:val="34"/>
    <w:qFormat/>
    <w:rsid w:val="00757757"/>
    <w:pPr>
      <w:ind w:left="720"/>
      <w:contextualSpacing/>
    </w:pPr>
  </w:style>
  <w:style w:type="paragraph" w:styleId="a7">
    <w:name w:val="Normal (Web)"/>
    <w:basedOn w:val="a0"/>
    <w:uiPriority w:val="99"/>
    <w:semiHidden/>
    <w:unhideWhenUsed/>
    <w:rsid w:val="000F4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D0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8">
    <w:name w:val="Balloon Text"/>
    <w:basedOn w:val="a0"/>
    <w:link w:val="a9"/>
    <w:uiPriority w:val="99"/>
    <w:semiHidden/>
    <w:unhideWhenUsed/>
    <w:rsid w:val="00361D0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61D0A"/>
    <w:rPr>
      <w:rFonts w:ascii="Tahoma" w:hAnsi="Tahoma" w:cs="Tahoma"/>
      <w:sz w:val="16"/>
      <w:szCs w:val="16"/>
    </w:rPr>
  </w:style>
  <w:style w:type="character" w:customStyle="1" w:styleId="10">
    <w:name w:val="Заголовок 1 Знак"/>
    <w:basedOn w:val="a1"/>
    <w:link w:val="1"/>
    <w:uiPriority w:val="9"/>
    <w:rsid w:val="00FE47A2"/>
    <w:rPr>
      <w:rFonts w:asciiTheme="majorHAnsi" w:eastAsiaTheme="majorEastAsia" w:hAnsiTheme="majorHAnsi" w:cstheme="majorBidi"/>
      <w:b/>
      <w:bCs/>
      <w:color w:val="365F91" w:themeColor="accent1" w:themeShade="BF"/>
      <w:sz w:val="28"/>
      <w:szCs w:val="28"/>
      <w:lang w:val="en-US" w:bidi="en-US"/>
    </w:rPr>
  </w:style>
  <w:style w:type="character" w:customStyle="1" w:styleId="21">
    <w:name w:val="Заголовок 2 Знак"/>
    <w:basedOn w:val="a1"/>
    <w:link w:val="20"/>
    <w:uiPriority w:val="9"/>
    <w:rsid w:val="00FE47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FE47A2"/>
    <w:rPr>
      <w:rFonts w:asciiTheme="majorHAnsi" w:eastAsiaTheme="majorEastAsia" w:hAnsiTheme="majorHAnsi" w:cstheme="majorBidi"/>
      <w:b/>
      <w:bCs/>
      <w:i/>
      <w:iCs/>
      <w:color w:val="4F81BD" w:themeColor="accent1"/>
    </w:rPr>
  </w:style>
  <w:style w:type="paragraph" w:styleId="aa">
    <w:name w:val="footnote text"/>
    <w:basedOn w:val="a0"/>
    <w:link w:val="ab"/>
    <w:uiPriority w:val="99"/>
    <w:semiHidden/>
    <w:unhideWhenUsed/>
    <w:rsid w:val="00FE47A2"/>
    <w:pPr>
      <w:spacing w:before="120" w:after="120" w:line="240" w:lineRule="auto"/>
      <w:jc w:val="both"/>
    </w:pPr>
    <w:rPr>
      <w:rFonts w:eastAsiaTheme="minorEastAsia"/>
      <w:sz w:val="20"/>
      <w:szCs w:val="20"/>
      <w:lang w:val="en-US" w:bidi="en-US"/>
    </w:rPr>
  </w:style>
  <w:style w:type="character" w:customStyle="1" w:styleId="ab">
    <w:name w:val="Текст сноски Знак"/>
    <w:basedOn w:val="a1"/>
    <w:link w:val="aa"/>
    <w:uiPriority w:val="99"/>
    <w:semiHidden/>
    <w:rsid w:val="00FE47A2"/>
    <w:rPr>
      <w:rFonts w:eastAsiaTheme="minorEastAsia"/>
      <w:sz w:val="20"/>
      <w:szCs w:val="20"/>
      <w:lang w:val="en-US" w:bidi="en-US"/>
    </w:rPr>
  </w:style>
  <w:style w:type="character" w:styleId="ac">
    <w:name w:val="footnote reference"/>
    <w:basedOn w:val="a1"/>
    <w:uiPriority w:val="99"/>
    <w:semiHidden/>
    <w:unhideWhenUsed/>
    <w:rsid w:val="00FE47A2"/>
    <w:rPr>
      <w:vertAlign w:val="superscript"/>
    </w:rPr>
  </w:style>
  <w:style w:type="paragraph" w:styleId="a">
    <w:name w:val="List Bullet"/>
    <w:basedOn w:val="a0"/>
    <w:rsid w:val="00FE47A2"/>
    <w:pPr>
      <w:numPr>
        <w:numId w:val="6"/>
      </w:numPr>
      <w:spacing w:before="120" w:after="240" w:line="240" w:lineRule="auto"/>
      <w:jc w:val="both"/>
    </w:pPr>
    <w:rPr>
      <w:rFonts w:ascii="Times New Roman" w:eastAsia="Times New Roman" w:hAnsi="Times New Roman" w:cs="Times New Roman"/>
      <w:szCs w:val="24"/>
      <w:lang w:eastAsia="ru-RU"/>
    </w:rPr>
  </w:style>
  <w:style w:type="paragraph" w:customStyle="1" w:styleId="Num-DocParagraph">
    <w:name w:val="Num-Doc Paragraph"/>
    <w:basedOn w:val="ad"/>
    <w:rsid w:val="00FE47A2"/>
    <w:pPr>
      <w:spacing w:before="120" w:after="240" w:line="240" w:lineRule="auto"/>
      <w:jc w:val="both"/>
    </w:pPr>
    <w:rPr>
      <w:rFonts w:ascii="Times New Roman" w:eastAsia="Times New Roman" w:hAnsi="Times New Roman" w:cs="Times New Roman"/>
      <w:szCs w:val="24"/>
      <w:lang w:eastAsia="ru-RU"/>
    </w:rPr>
  </w:style>
  <w:style w:type="paragraph" w:styleId="2">
    <w:name w:val="List Bullet 2"/>
    <w:basedOn w:val="a0"/>
    <w:uiPriority w:val="99"/>
    <w:semiHidden/>
    <w:unhideWhenUsed/>
    <w:rsid w:val="00FE47A2"/>
    <w:pPr>
      <w:numPr>
        <w:numId w:val="8"/>
      </w:numPr>
      <w:tabs>
        <w:tab w:val="left" w:pos="850"/>
        <w:tab w:val="left" w:pos="1191"/>
        <w:tab w:val="left" w:pos="1531"/>
      </w:tabs>
      <w:spacing w:before="120" w:after="120" w:line="240" w:lineRule="auto"/>
      <w:contextualSpacing/>
      <w:jc w:val="both"/>
    </w:pPr>
    <w:rPr>
      <w:rFonts w:ascii="Times New Roman" w:eastAsia="Times New Roman" w:hAnsi="Times New Roman" w:cs="Times New Roman"/>
      <w:lang w:val="en-GB" w:eastAsia="zh-CN"/>
    </w:rPr>
  </w:style>
  <w:style w:type="table" w:styleId="ae">
    <w:name w:val="Table Grid"/>
    <w:basedOn w:val="a2"/>
    <w:uiPriority w:val="59"/>
    <w:rsid w:val="00FE47A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0"/>
    <w:link w:val="af"/>
    <w:uiPriority w:val="99"/>
    <w:semiHidden/>
    <w:unhideWhenUsed/>
    <w:rsid w:val="00FE47A2"/>
    <w:pPr>
      <w:spacing w:after="120"/>
    </w:pPr>
  </w:style>
  <w:style w:type="character" w:customStyle="1" w:styleId="af">
    <w:name w:val="Основной текст Знак"/>
    <w:basedOn w:val="a1"/>
    <w:link w:val="ad"/>
    <w:uiPriority w:val="99"/>
    <w:semiHidden/>
    <w:rsid w:val="00FE4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E47A2"/>
    <w:pPr>
      <w:keepNext/>
      <w:keepLines/>
      <w:spacing w:before="480" w:after="120"/>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20">
    <w:name w:val="heading 2"/>
    <w:basedOn w:val="a0"/>
    <w:next w:val="a0"/>
    <w:link w:val="21"/>
    <w:uiPriority w:val="9"/>
    <w:unhideWhenUsed/>
    <w:qFormat/>
    <w:rsid w:val="00FE47A2"/>
    <w:pPr>
      <w:keepNext/>
      <w:keepLines/>
      <w:spacing w:before="200" w:after="120" w:line="240" w:lineRule="auto"/>
      <w:jc w:val="both"/>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unhideWhenUsed/>
    <w:qFormat/>
    <w:rsid w:val="00FE47A2"/>
    <w:pPr>
      <w:keepNext/>
      <w:keepLines/>
      <w:spacing w:before="200" w:after="120" w:line="240" w:lineRule="auto"/>
      <w:jc w:val="both"/>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F4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8F4CD1"/>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0"/>
    <w:uiPriority w:val="34"/>
    <w:qFormat/>
    <w:rsid w:val="00757757"/>
    <w:pPr>
      <w:ind w:left="720"/>
      <w:contextualSpacing/>
    </w:pPr>
  </w:style>
  <w:style w:type="paragraph" w:styleId="a7">
    <w:name w:val="Normal (Web)"/>
    <w:basedOn w:val="a0"/>
    <w:uiPriority w:val="99"/>
    <w:semiHidden/>
    <w:unhideWhenUsed/>
    <w:rsid w:val="000F4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D0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8">
    <w:name w:val="Balloon Text"/>
    <w:basedOn w:val="a0"/>
    <w:link w:val="a9"/>
    <w:uiPriority w:val="99"/>
    <w:semiHidden/>
    <w:unhideWhenUsed/>
    <w:rsid w:val="00361D0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61D0A"/>
    <w:rPr>
      <w:rFonts w:ascii="Tahoma" w:hAnsi="Tahoma" w:cs="Tahoma"/>
      <w:sz w:val="16"/>
      <w:szCs w:val="16"/>
    </w:rPr>
  </w:style>
  <w:style w:type="character" w:customStyle="1" w:styleId="10">
    <w:name w:val="Заголовок 1 Знак"/>
    <w:basedOn w:val="a1"/>
    <w:link w:val="1"/>
    <w:uiPriority w:val="9"/>
    <w:rsid w:val="00FE47A2"/>
    <w:rPr>
      <w:rFonts w:asciiTheme="majorHAnsi" w:eastAsiaTheme="majorEastAsia" w:hAnsiTheme="majorHAnsi" w:cstheme="majorBidi"/>
      <w:b/>
      <w:bCs/>
      <w:color w:val="365F91" w:themeColor="accent1" w:themeShade="BF"/>
      <w:sz w:val="28"/>
      <w:szCs w:val="28"/>
      <w:lang w:val="en-US" w:bidi="en-US"/>
    </w:rPr>
  </w:style>
  <w:style w:type="character" w:customStyle="1" w:styleId="21">
    <w:name w:val="Заголовок 2 Знак"/>
    <w:basedOn w:val="a1"/>
    <w:link w:val="20"/>
    <w:uiPriority w:val="9"/>
    <w:rsid w:val="00FE47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FE47A2"/>
    <w:rPr>
      <w:rFonts w:asciiTheme="majorHAnsi" w:eastAsiaTheme="majorEastAsia" w:hAnsiTheme="majorHAnsi" w:cstheme="majorBidi"/>
      <w:b/>
      <w:bCs/>
      <w:i/>
      <w:iCs/>
      <w:color w:val="4F81BD" w:themeColor="accent1"/>
    </w:rPr>
  </w:style>
  <w:style w:type="paragraph" w:styleId="aa">
    <w:name w:val="footnote text"/>
    <w:basedOn w:val="a0"/>
    <w:link w:val="ab"/>
    <w:uiPriority w:val="99"/>
    <w:semiHidden/>
    <w:unhideWhenUsed/>
    <w:rsid w:val="00FE47A2"/>
    <w:pPr>
      <w:spacing w:before="120" w:after="120" w:line="240" w:lineRule="auto"/>
      <w:jc w:val="both"/>
    </w:pPr>
    <w:rPr>
      <w:rFonts w:eastAsiaTheme="minorEastAsia"/>
      <w:sz w:val="20"/>
      <w:szCs w:val="20"/>
      <w:lang w:val="en-US" w:bidi="en-US"/>
    </w:rPr>
  </w:style>
  <w:style w:type="character" w:customStyle="1" w:styleId="ab">
    <w:name w:val="Текст сноски Знак"/>
    <w:basedOn w:val="a1"/>
    <w:link w:val="aa"/>
    <w:uiPriority w:val="99"/>
    <w:semiHidden/>
    <w:rsid w:val="00FE47A2"/>
    <w:rPr>
      <w:rFonts w:eastAsiaTheme="minorEastAsia"/>
      <w:sz w:val="20"/>
      <w:szCs w:val="20"/>
      <w:lang w:val="en-US" w:bidi="en-US"/>
    </w:rPr>
  </w:style>
  <w:style w:type="character" w:styleId="ac">
    <w:name w:val="footnote reference"/>
    <w:basedOn w:val="a1"/>
    <w:uiPriority w:val="99"/>
    <w:semiHidden/>
    <w:unhideWhenUsed/>
    <w:rsid w:val="00FE47A2"/>
    <w:rPr>
      <w:vertAlign w:val="superscript"/>
    </w:rPr>
  </w:style>
  <w:style w:type="paragraph" w:styleId="a">
    <w:name w:val="List Bullet"/>
    <w:basedOn w:val="a0"/>
    <w:rsid w:val="00FE47A2"/>
    <w:pPr>
      <w:numPr>
        <w:numId w:val="6"/>
      </w:numPr>
      <w:spacing w:before="120" w:after="240" w:line="240" w:lineRule="auto"/>
      <w:jc w:val="both"/>
    </w:pPr>
    <w:rPr>
      <w:rFonts w:ascii="Times New Roman" w:eastAsia="Times New Roman" w:hAnsi="Times New Roman" w:cs="Times New Roman"/>
      <w:szCs w:val="24"/>
      <w:lang w:eastAsia="ru-RU"/>
    </w:rPr>
  </w:style>
  <w:style w:type="paragraph" w:customStyle="1" w:styleId="Num-DocParagraph">
    <w:name w:val="Num-Doc Paragraph"/>
    <w:basedOn w:val="ad"/>
    <w:rsid w:val="00FE47A2"/>
    <w:pPr>
      <w:spacing w:before="120" w:after="240" w:line="240" w:lineRule="auto"/>
      <w:jc w:val="both"/>
    </w:pPr>
    <w:rPr>
      <w:rFonts w:ascii="Times New Roman" w:eastAsia="Times New Roman" w:hAnsi="Times New Roman" w:cs="Times New Roman"/>
      <w:szCs w:val="24"/>
      <w:lang w:eastAsia="ru-RU"/>
    </w:rPr>
  </w:style>
  <w:style w:type="paragraph" w:styleId="2">
    <w:name w:val="List Bullet 2"/>
    <w:basedOn w:val="a0"/>
    <w:uiPriority w:val="99"/>
    <w:semiHidden/>
    <w:unhideWhenUsed/>
    <w:rsid w:val="00FE47A2"/>
    <w:pPr>
      <w:numPr>
        <w:numId w:val="8"/>
      </w:numPr>
      <w:tabs>
        <w:tab w:val="left" w:pos="850"/>
        <w:tab w:val="left" w:pos="1191"/>
        <w:tab w:val="left" w:pos="1531"/>
      </w:tabs>
      <w:spacing w:before="120" w:after="120" w:line="240" w:lineRule="auto"/>
      <w:contextualSpacing/>
      <w:jc w:val="both"/>
    </w:pPr>
    <w:rPr>
      <w:rFonts w:ascii="Times New Roman" w:eastAsia="Times New Roman" w:hAnsi="Times New Roman" w:cs="Times New Roman"/>
      <w:lang w:val="en-GB" w:eastAsia="zh-CN"/>
    </w:rPr>
  </w:style>
  <w:style w:type="table" w:styleId="ae">
    <w:name w:val="Table Grid"/>
    <w:basedOn w:val="a2"/>
    <w:uiPriority w:val="59"/>
    <w:rsid w:val="00FE47A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0"/>
    <w:link w:val="af"/>
    <w:uiPriority w:val="99"/>
    <w:semiHidden/>
    <w:unhideWhenUsed/>
    <w:rsid w:val="00FE47A2"/>
    <w:pPr>
      <w:spacing w:after="120"/>
    </w:pPr>
  </w:style>
  <w:style w:type="character" w:customStyle="1" w:styleId="af">
    <w:name w:val="Основной текст Знак"/>
    <w:basedOn w:val="a1"/>
    <w:link w:val="ad"/>
    <w:uiPriority w:val="99"/>
    <w:semiHidden/>
    <w:rsid w:val="00FE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Каалыкова</dc:creator>
  <cp:lastModifiedBy>Гульназ Каалыкова</cp:lastModifiedBy>
  <cp:revision>14</cp:revision>
  <dcterms:created xsi:type="dcterms:W3CDTF">2017-12-11T14:09:00Z</dcterms:created>
  <dcterms:modified xsi:type="dcterms:W3CDTF">2017-12-18T08:43:00Z</dcterms:modified>
</cp:coreProperties>
</file>