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D6" w:rsidRDefault="00E655D6"/>
    <w:p w:rsidR="005126A5" w:rsidRPr="0032094D" w:rsidRDefault="0032094D" w:rsidP="0032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аналитическая записка по </w:t>
      </w:r>
      <w:r w:rsidRPr="0032094D">
        <w:rPr>
          <w:rFonts w:ascii="Times New Roman" w:hAnsi="Times New Roman" w:cs="Times New Roman"/>
          <w:b/>
          <w:sz w:val="28"/>
          <w:szCs w:val="28"/>
        </w:rPr>
        <w:t>поступления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2094D">
        <w:rPr>
          <w:rFonts w:ascii="Times New Roman" w:hAnsi="Times New Roman" w:cs="Times New Roman"/>
          <w:b/>
          <w:sz w:val="28"/>
          <w:szCs w:val="28"/>
        </w:rPr>
        <w:t xml:space="preserve"> прямых иностранных инвестиций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094D">
        <w:rPr>
          <w:rFonts w:ascii="Times New Roman" w:hAnsi="Times New Roman" w:cs="Times New Roman"/>
          <w:b/>
          <w:sz w:val="28"/>
          <w:szCs w:val="28"/>
        </w:rPr>
        <w:t xml:space="preserve"> квартале 2019 г.</w:t>
      </w:r>
      <w:bookmarkStart w:id="0" w:name="_GoBack"/>
      <w:bookmarkEnd w:id="0"/>
    </w:p>
    <w:p w:rsidR="005A6329" w:rsidRPr="00006E9D" w:rsidRDefault="005A6329" w:rsidP="005A6329">
      <w:pPr>
        <w:pStyle w:val="a3"/>
        <w:ind w:firstLine="567"/>
        <w:rPr>
          <w:szCs w:val="28"/>
        </w:rPr>
      </w:pPr>
      <w:r w:rsidRPr="00006E9D">
        <w:rPr>
          <w:szCs w:val="28"/>
        </w:rPr>
        <w:t xml:space="preserve">По данным </w:t>
      </w:r>
      <w:r>
        <w:rPr>
          <w:szCs w:val="28"/>
        </w:rPr>
        <w:t xml:space="preserve">Национального статистического комитета </w:t>
      </w:r>
      <w:proofErr w:type="spellStart"/>
      <w:r>
        <w:rPr>
          <w:szCs w:val="28"/>
        </w:rPr>
        <w:t>Кыргызской</w:t>
      </w:r>
      <w:proofErr w:type="spellEnd"/>
      <w:r>
        <w:rPr>
          <w:szCs w:val="28"/>
        </w:rPr>
        <w:t xml:space="preserve"> Республики </w:t>
      </w:r>
      <w:r w:rsidRPr="005A6329">
        <w:rPr>
          <w:szCs w:val="28"/>
        </w:rPr>
        <w:t>приток прямых иностранных инвестиций</w:t>
      </w:r>
      <w:r w:rsidRPr="00006E9D">
        <w:rPr>
          <w:b/>
          <w:szCs w:val="28"/>
        </w:rPr>
        <w:t xml:space="preserve"> </w:t>
      </w:r>
      <w:r w:rsidRPr="00B128DD">
        <w:rPr>
          <w:szCs w:val="28"/>
        </w:rPr>
        <w:t>(далее по тексту – без учета оттока)</w:t>
      </w:r>
      <w:r>
        <w:rPr>
          <w:b/>
          <w:szCs w:val="28"/>
        </w:rPr>
        <w:t xml:space="preserve"> </w:t>
      </w:r>
      <w:r w:rsidR="00CD1670">
        <w:rPr>
          <w:szCs w:val="28"/>
        </w:rPr>
        <w:t xml:space="preserve">по итогам за январь-март 2019 </w:t>
      </w:r>
      <w:r w:rsidRPr="00006E9D">
        <w:rPr>
          <w:szCs w:val="28"/>
        </w:rPr>
        <w:t>г</w:t>
      </w:r>
      <w:r w:rsidR="00CD1670">
        <w:rPr>
          <w:szCs w:val="28"/>
        </w:rPr>
        <w:t>ода</w:t>
      </w:r>
      <w:r w:rsidRPr="00006E9D">
        <w:rPr>
          <w:szCs w:val="28"/>
        </w:rPr>
        <w:t xml:space="preserve"> составил </w:t>
      </w:r>
      <w:r w:rsidR="00CD1670" w:rsidRPr="00CD1670">
        <w:rPr>
          <w:szCs w:val="28"/>
        </w:rPr>
        <w:t>176</w:t>
      </w:r>
      <w:r w:rsidR="00CD1670">
        <w:rPr>
          <w:szCs w:val="28"/>
        </w:rPr>
        <w:t>,</w:t>
      </w:r>
      <w:r w:rsidR="00CD1670" w:rsidRPr="00CD1670">
        <w:rPr>
          <w:szCs w:val="28"/>
        </w:rPr>
        <w:t>7</w:t>
      </w:r>
      <w:r w:rsidR="00CD1670">
        <w:rPr>
          <w:szCs w:val="28"/>
        </w:rPr>
        <w:t xml:space="preserve"> </w:t>
      </w:r>
      <w:proofErr w:type="gramStart"/>
      <w:r w:rsidRPr="00006E9D">
        <w:rPr>
          <w:szCs w:val="28"/>
        </w:rPr>
        <w:t>млн</w:t>
      </w:r>
      <w:proofErr w:type="gramEnd"/>
      <w:r w:rsidRPr="00006E9D">
        <w:rPr>
          <w:szCs w:val="28"/>
        </w:rPr>
        <w:t xml:space="preserve"> долларов США и </w:t>
      </w:r>
      <w:r w:rsidR="0065140F">
        <w:rPr>
          <w:szCs w:val="28"/>
        </w:rPr>
        <w:t>по</w:t>
      </w:r>
      <w:r w:rsidRPr="00006E9D">
        <w:rPr>
          <w:szCs w:val="28"/>
        </w:rPr>
        <w:t xml:space="preserve"> сравнени</w:t>
      </w:r>
      <w:r w:rsidR="0065140F">
        <w:rPr>
          <w:szCs w:val="28"/>
        </w:rPr>
        <w:t>ю</w:t>
      </w:r>
      <w:r w:rsidRPr="00006E9D">
        <w:rPr>
          <w:szCs w:val="28"/>
        </w:rPr>
        <w:t xml:space="preserve"> с </w:t>
      </w:r>
      <w:r w:rsidR="00CD1670">
        <w:rPr>
          <w:szCs w:val="28"/>
        </w:rPr>
        <w:t>аналогическим периодом 2018 года</w:t>
      </w:r>
      <w:r w:rsidRPr="00006E9D">
        <w:rPr>
          <w:szCs w:val="28"/>
        </w:rPr>
        <w:t xml:space="preserve"> </w:t>
      </w:r>
      <w:r w:rsidRPr="000E038F">
        <w:rPr>
          <w:szCs w:val="28"/>
        </w:rPr>
        <w:t>увеличился на</w:t>
      </w:r>
      <w:r w:rsidR="00CD1670" w:rsidRPr="000E038F">
        <w:rPr>
          <w:szCs w:val="28"/>
        </w:rPr>
        <w:t xml:space="preserve"> 48,9 %</w:t>
      </w:r>
      <w:r w:rsidRPr="000E038F">
        <w:rPr>
          <w:szCs w:val="28"/>
        </w:rPr>
        <w:t>.</w:t>
      </w:r>
      <w:r w:rsidRPr="00006E9D">
        <w:rPr>
          <w:szCs w:val="28"/>
        </w:rPr>
        <w:t xml:space="preserve"> При этом, прито</w:t>
      </w:r>
      <w:r w:rsidR="00CD1670">
        <w:rPr>
          <w:szCs w:val="28"/>
        </w:rPr>
        <w:t>к превысил уровень оттока на 6,9</w:t>
      </w:r>
      <w:r w:rsidRPr="00006E9D">
        <w:rPr>
          <w:szCs w:val="28"/>
        </w:rPr>
        <w:t xml:space="preserve"> млн долларов</w:t>
      </w:r>
      <w:r w:rsidR="00CD1670">
        <w:rPr>
          <w:szCs w:val="28"/>
        </w:rPr>
        <w:t xml:space="preserve"> </w:t>
      </w:r>
      <w:r w:rsidR="00CD1670" w:rsidRPr="00006E9D">
        <w:rPr>
          <w:szCs w:val="28"/>
        </w:rPr>
        <w:t>США</w:t>
      </w:r>
      <w:r w:rsidRPr="00006E9D">
        <w:rPr>
          <w:szCs w:val="28"/>
        </w:rPr>
        <w:t xml:space="preserve">. </w:t>
      </w:r>
    </w:p>
    <w:p w:rsidR="005A6329" w:rsidRDefault="005A6329" w:rsidP="005A6329">
      <w:pPr>
        <w:pStyle w:val="a3"/>
        <w:ind w:firstLine="708"/>
        <w:rPr>
          <w:szCs w:val="28"/>
        </w:rPr>
      </w:pPr>
      <w:r w:rsidRPr="000E038F">
        <w:rPr>
          <w:szCs w:val="28"/>
        </w:rPr>
        <w:t>В структуре прямых иностранных инвестиций по сравнению с предыдущим годом отмечалось увеличение</w:t>
      </w:r>
      <w:r w:rsidRPr="00006E9D">
        <w:rPr>
          <w:szCs w:val="28"/>
        </w:rPr>
        <w:t xml:space="preserve"> объемов всех составляющих, за исключением взносов в собственный капитал</w:t>
      </w:r>
      <w:r w:rsidR="00B5257A">
        <w:rPr>
          <w:szCs w:val="28"/>
        </w:rPr>
        <w:t xml:space="preserve"> и реинвестированной прибыли</w:t>
      </w:r>
      <w:r w:rsidRPr="00006E9D">
        <w:rPr>
          <w:szCs w:val="28"/>
        </w:rPr>
        <w:t xml:space="preserve">. </w:t>
      </w:r>
    </w:p>
    <w:p w:rsidR="005126A5" w:rsidRDefault="005126A5" w:rsidP="005A6329">
      <w:pPr>
        <w:pStyle w:val="a3"/>
        <w:ind w:firstLine="708"/>
        <w:rPr>
          <w:szCs w:val="28"/>
        </w:rPr>
      </w:pPr>
    </w:p>
    <w:p w:rsidR="005126A5" w:rsidRPr="005126A5" w:rsidRDefault="005126A5" w:rsidP="005126A5">
      <w:pPr>
        <w:pStyle w:val="a3"/>
        <w:ind w:firstLine="708"/>
        <w:jc w:val="center"/>
        <w:rPr>
          <w:b/>
          <w:szCs w:val="28"/>
        </w:rPr>
      </w:pPr>
      <w:r w:rsidRPr="005126A5">
        <w:rPr>
          <w:b/>
          <w:szCs w:val="28"/>
        </w:rPr>
        <w:t>Структура поступления прямых иностранных инвестиций в 1 квартале 2019г.</w:t>
      </w:r>
    </w:p>
    <w:p w:rsidR="005A6329" w:rsidRDefault="005126A5" w:rsidP="005126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6A5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2721"/>
        <w:gridCol w:w="1166"/>
        <w:gridCol w:w="2110"/>
        <w:gridCol w:w="1166"/>
        <w:gridCol w:w="2110"/>
      </w:tblGrid>
      <w:tr w:rsidR="00B43D46" w:rsidRPr="00B43D46" w:rsidTr="00B43D46">
        <w:trPr>
          <w:trHeight w:val="252"/>
        </w:trPr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Приток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Отток</w:t>
            </w: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долларов США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В процентах </w:t>
            </w:r>
            <w:proofErr w:type="gramStart"/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долларов США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В процентах </w:t>
            </w:r>
            <w:proofErr w:type="gramStart"/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3D46" w:rsidRPr="00B43D46" w:rsidTr="00B43D46">
        <w:trPr>
          <w:trHeight w:val="889"/>
        </w:trPr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соответствующему периоду прошлого года</w:t>
            </w: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3D46" w:rsidRPr="00B43D46" w:rsidRDefault="00B43D46" w:rsidP="00B43D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соответствующему периоду прошлого года</w:t>
            </w: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176 705,7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169 799,4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68,7</w:t>
            </w: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Собственный капитал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4 667,8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Финансовый лизинг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Реинвестированная прибыль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44 059,6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56 137,2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</w:t>
            </w: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инвестиции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127 978,3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112 703,1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B43D46" w:rsidRPr="00B43D46" w:rsidTr="00B43D46">
        <w:trPr>
          <w:trHeight w:val="47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D46" w:rsidRPr="00B43D46" w:rsidRDefault="00B43D46" w:rsidP="00B43D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кредиты, полученные от нерезидентов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120 085,4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33 033,8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B43D46" w:rsidRPr="00B43D46" w:rsidTr="00B43D46">
        <w:trPr>
          <w:trHeight w:val="25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D46" w:rsidRPr="00B43D46" w:rsidRDefault="00B43D46" w:rsidP="00B43D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торговые кредиты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7 892,9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79 113,7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</w:tr>
      <w:tr w:rsidR="00B43D46" w:rsidRPr="00B43D46" w:rsidTr="00B43D46">
        <w:trPr>
          <w:trHeight w:val="47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D46" w:rsidRPr="00B43D46" w:rsidRDefault="00B43D46" w:rsidP="00B43D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кредиторская задолженность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1E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B43D46" w:rsidRPr="00B43D46" w:rsidTr="00B43D46">
        <w:trPr>
          <w:trHeight w:val="267"/>
        </w:trPr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D46" w:rsidRPr="00B43D46" w:rsidRDefault="00B43D46" w:rsidP="00B43D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46" w:rsidRPr="00B43D46" w:rsidRDefault="00B43D46" w:rsidP="00B43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D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126A5" w:rsidRDefault="005126A5" w:rsidP="005126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98E" w:rsidRDefault="0092298E" w:rsidP="000E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8F">
        <w:rPr>
          <w:rFonts w:ascii="Times New Roman" w:hAnsi="Times New Roman" w:cs="Times New Roman"/>
          <w:sz w:val="28"/>
          <w:szCs w:val="28"/>
        </w:rPr>
        <w:t>В разрезе по видам экономической деятельности основной объем прямых иностранных инвестиций был направлен в предприятия добывающих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404">
        <w:rPr>
          <w:rFonts w:ascii="Times New Roman" w:hAnsi="Times New Roman" w:cs="Times New Roman"/>
          <w:sz w:val="28"/>
          <w:szCs w:val="28"/>
        </w:rPr>
        <w:t>обрабатывающих производств</w:t>
      </w:r>
      <w:r w:rsidR="000E038F">
        <w:rPr>
          <w:rFonts w:ascii="Times New Roman" w:hAnsi="Times New Roman" w:cs="Times New Roman"/>
          <w:sz w:val="28"/>
          <w:szCs w:val="28"/>
        </w:rPr>
        <w:t xml:space="preserve">, </w:t>
      </w:r>
      <w:r w:rsidR="000E038F" w:rsidRPr="00965404">
        <w:rPr>
          <w:rFonts w:ascii="Times New Roman" w:hAnsi="Times New Roman" w:cs="Times New Roman"/>
          <w:sz w:val="28"/>
          <w:szCs w:val="28"/>
        </w:rPr>
        <w:t xml:space="preserve">сферу строительства, </w:t>
      </w:r>
      <w:r w:rsidR="000E038F">
        <w:rPr>
          <w:rFonts w:ascii="Times New Roman" w:hAnsi="Times New Roman" w:cs="Times New Roman"/>
          <w:sz w:val="28"/>
          <w:szCs w:val="28"/>
        </w:rPr>
        <w:t xml:space="preserve">оптовую и розничную торговлю, </w:t>
      </w:r>
      <w:r w:rsidR="000E038F" w:rsidRPr="00965404">
        <w:rPr>
          <w:rFonts w:ascii="Times New Roman" w:hAnsi="Times New Roman" w:cs="Times New Roman"/>
          <w:sz w:val="28"/>
          <w:szCs w:val="28"/>
        </w:rPr>
        <w:t xml:space="preserve">финансового посредничества и страхования, </w:t>
      </w:r>
      <w:r w:rsidR="000E038F">
        <w:rPr>
          <w:rFonts w:ascii="Times New Roman" w:hAnsi="Times New Roman" w:cs="Times New Roman"/>
          <w:sz w:val="28"/>
          <w:szCs w:val="28"/>
        </w:rPr>
        <w:t xml:space="preserve">профессиональной, научной и технической деятельности, </w:t>
      </w:r>
      <w:r w:rsidR="000E038F" w:rsidRPr="00965404">
        <w:rPr>
          <w:rFonts w:ascii="Times New Roman" w:hAnsi="Times New Roman" w:cs="Times New Roman"/>
          <w:sz w:val="28"/>
          <w:szCs w:val="28"/>
        </w:rPr>
        <w:t xml:space="preserve">а также информации и связи. </w:t>
      </w:r>
    </w:p>
    <w:p w:rsidR="00965404" w:rsidRPr="00965404" w:rsidRDefault="00965404" w:rsidP="000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65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5404">
        <w:rPr>
          <w:rFonts w:ascii="Times New Roman" w:hAnsi="Times New Roman" w:cs="Times New Roman"/>
          <w:sz w:val="28"/>
          <w:szCs w:val="28"/>
        </w:rPr>
        <w:t xml:space="preserve"> объем инвестиций, направленных в </w:t>
      </w:r>
      <w:r w:rsidR="000E038F">
        <w:rPr>
          <w:rFonts w:ascii="Times New Roman" w:hAnsi="Times New Roman" w:cs="Times New Roman"/>
          <w:sz w:val="28"/>
          <w:szCs w:val="28"/>
        </w:rPr>
        <w:t>аграрный сектор</w:t>
      </w:r>
      <w:r w:rsidRPr="00965404">
        <w:rPr>
          <w:rFonts w:ascii="Times New Roman" w:hAnsi="Times New Roman" w:cs="Times New Roman"/>
          <w:sz w:val="28"/>
          <w:szCs w:val="28"/>
        </w:rPr>
        <w:t xml:space="preserve"> </w:t>
      </w:r>
      <w:r w:rsidR="000E038F">
        <w:rPr>
          <w:rFonts w:ascii="Times New Roman" w:hAnsi="Times New Roman" w:cs="Times New Roman"/>
          <w:sz w:val="28"/>
          <w:szCs w:val="28"/>
        </w:rPr>
        <w:t>снизился на 69 %</w:t>
      </w:r>
      <w:r w:rsidRPr="00965404">
        <w:rPr>
          <w:rFonts w:ascii="Times New Roman" w:hAnsi="Times New Roman" w:cs="Times New Roman"/>
          <w:sz w:val="28"/>
          <w:szCs w:val="28"/>
        </w:rPr>
        <w:t xml:space="preserve">, </w:t>
      </w:r>
      <w:r w:rsidR="00323743">
        <w:rPr>
          <w:rFonts w:ascii="Times New Roman" w:hAnsi="Times New Roman" w:cs="Times New Roman"/>
          <w:sz w:val="28"/>
          <w:szCs w:val="28"/>
        </w:rPr>
        <w:t>предприятия о</w:t>
      </w:r>
      <w:r w:rsidR="000E038F" w:rsidRPr="000E038F">
        <w:rPr>
          <w:rFonts w:ascii="Times New Roman" w:hAnsi="Times New Roman" w:cs="Times New Roman"/>
          <w:sz w:val="28"/>
          <w:szCs w:val="28"/>
        </w:rPr>
        <w:t>беспечени</w:t>
      </w:r>
      <w:r w:rsidR="00323743">
        <w:rPr>
          <w:rFonts w:ascii="Times New Roman" w:hAnsi="Times New Roman" w:cs="Times New Roman"/>
          <w:sz w:val="28"/>
          <w:szCs w:val="28"/>
        </w:rPr>
        <w:t>я</w:t>
      </w:r>
      <w:r w:rsidR="000E038F" w:rsidRPr="000E038F">
        <w:rPr>
          <w:rFonts w:ascii="Times New Roman" w:hAnsi="Times New Roman" w:cs="Times New Roman"/>
          <w:sz w:val="28"/>
          <w:szCs w:val="28"/>
        </w:rPr>
        <w:t xml:space="preserve"> </w:t>
      </w:r>
      <w:r w:rsidR="00323743">
        <w:rPr>
          <w:rFonts w:ascii="Times New Roman" w:hAnsi="Times New Roman" w:cs="Times New Roman"/>
          <w:sz w:val="28"/>
          <w:szCs w:val="28"/>
        </w:rPr>
        <w:t xml:space="preserve">электроэнергией, газом, </w:t>
      </w:r>
      <w:r w:rsidR="000E038F" w:rsidRPr="000E038F">
        <w:rPr>
          <w:rFonts w:ascii="Times New Roman" w:hAnsi="Times New Roman" w:cs="Times New Roman"/>
          <w:sz w:val="28"/>
          <w:szCs w:val="28"/>
        </w:rPr>
        <w:t>паром и кондиционированным воздухом</w:t>
      </w:r>
      <w:r w:rsidR="000E038F">
        <w:rPr>
          <w:rFonts w:ascii="Times New Roman" w:hAnsi="Times New Roman" w:cs="Times New Roman"/>
          <w:sz w:val="28"/>
          <w:szCs w:val="28"/>
        </w:rPr>
        <w:t xml:space="preserve"> – на 74 %</w:t>
      </w:r>
      <w:r w:rsidRPr="00965404">
        <w:rPr>
          <w:rFonts w:ascii="Times New Roman" w:hAnsi="Times New Roman" w:cs="Times New Roman"/>
          <w:sz w:val="28"/>
          <w:szCs w:val="28"/>
        </w:rPr>
        <w:t xml:space="preserve">, </w:t>
      </w:r>
      <w:r w:rsidR="000E038F">
        <w:rPr>
          <w:rFonts w:ascii="Times New Roman" w:hAnsi="Times New Roman" w:cs="Times New Roman"/>
          <w:sz w:val="28"/>
          <w:szCs w:val="28"/>
        </w:rPr>
        <w:t>в</w:t>
      </w:r>
      <w:r w:rsidR="000E038F" w:rsidRPr="000E038F">
        <w:rPr>
          <w:rFonts w:ascii="Times New Roman" w:hAnsi="Times New Roman" w:cs="Times New Roman"/>
          <w:sz w:val="28"/>
          <w:szCs w:val="28"/>
        </w:rPr>
        <w:t>одоснабжени</w:t>
      </w:r>
      <w:r w:rsidR="00323743">
        <w:rPr>
          <w:rFonts w:ascii="Times New Roman" w:hAnsi="Times New Roman" w:cs="Times New Roman"/>
          <w:sz w:val="28"/>
          <w:szCs w:val="28"/>
        </w:rPr>
        <w:t>я</w:t>
      </w:r>
      <w:r w:rsidR="000E038F">
        <w:rPr>
          <w:rFonts w:ascii="Times New Roman" w:hAnsi="Times New Roman" w:cs="Times New Roman"/>
          <w:sz w:val="28"/>
          <w:szCs w:val="28"/>
        </w:rPr>
        <w:t>, очистк</w:t>
      </w:r>
      <w:r w:rsidR="00323743">
        <w:rPr>
          <w:rFonts w:ascii="Times New Roman" w:hAnsi="Times New Roman" w:cs="Times New Roman"/>
          <w:sz w:val="28"/>
          <w:szCs w:val="28"/>
        </w:rPr>
        <w:t>и</w:t>
      </w:r>
      <w:r w:rsidR="000E038F">
        <w:rPr>
          <w:rFonts w:ascii="Times New Roman" w:hAnsi="Times New Roman" w:cs="Times New Roman"/>
          <w:sz w:val="28"/>
          <w:szCs w:val="28"/>
        </w:rPr>
        <w:t>, обработк</w:t>
      </w:r>
      <w:r w:rsidR="00323743">
        <w:rPr>
          <w:rFonts w:ascii="Times New Roman" w:hAnsi="Times New Roman" w:cs="Times New Roman"/>
          <w:sz w:val="28"/>
          <w:szCs w:val="28"/>
        </w:rPr>
        <w:t>и</w:t>
      </w:r>
      <w:r w:rsidR="000E038F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="000E038F" w:rsidRPr="000E038F">
        <w:rPr>
          <w:rFonts w:ascii="Times New Roman" w:hAnsi="Times New Roman" w:cs="Times New Roman"/>
          <w:sz w:val="28"/>
          <w:szCs w:val="28"/>
        </w:rPr>
        <w:t>и получени</w:t>
      </w:r>
      <w:r w:rsidR="00323743">
        <w:rPr>
          <w:rFonts w:ascii="Times New Roman" w:hAnsi="Times New Roman" w:cs="Times New Roman"/>
          <w:sz w:val="28"/>
          <w:szCs w:val="28"/>
        </w:rPr>
        <w:t>я</w:t>
      </w:r>
      <w:r w:rsidR="000E038F" w:rsidRPr="000E038F">
        <w:rPr>
          <w:rFonts w:ascii="Times New Roman" w:hAnsi="Times New Roman" w:cs="Times New Roman"/>
          <w:sz w:val="28"/>
          <w:szCs w:val="28"/>
        </w:rPr>
        <w:t xml:space="preserve"> вторичного сырья </w:t>
      </w:r>
      <w:r w:rsidR="000E038F">
        <w:rPr>
          <w:rFonts w:ascii="Times New Roman" w:hAnsi="Times New Roman" w:cs="Times New Roman"/>
          <w:sz w:val="28"/>
          <w:szCs w:val="28"/>
        </w:rPr>
        <w:t xml:space="preserve">- </w:t>
      </w:r>
      <w:r w:rsidRPr="00965404">
        <w:rPr>
          <w:rFonts w:ascii="Times New Roman" w:hAnsi="Times New Roman" w:cs="Times New Roman"/>
          <w:sz w:val="28"/>
          <w:szCs w:val="28"/>
        </w:rPr>
        <w:t xml:space="preserve">на </w:t>
      </w:r>
      <w:r w:rsidR="000E038F">
        <w:rPr>
          <w:rFonts w:ascii="Times New Roman" w:hAnsi="Times New Roman" w:cs="Times New Roman"/>
          <w:sz w:val="28"/>
          <w:szCs w:val="28"/>
        </w:rPr>
        <w:t>82 %</w:t>
      </w:r>
      <w:r w:rsidRPr="00965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D61" w:rsidRPr="00965404" w:rsidRDefault="00725D61" w:rsidP="00965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04" w:rsidRDefault="00F00D80" w:rsidP="00F0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80">
        <w:rPr>
          <w:rFonts w:ascii="Times New Roman" w:hAnsi="Times New Roman" w:cs="Times New Roman"/>
          <w:b/>
          <w:sz w:val="28"/>
          <w:szCs w:val="28"/>
        </w:rPr>
        <w:lastRenderedPageBreak/>
        <w:t>Поступление прямых иностранных инвестиций по видам экономической деятельности в 1 квартале 2019г.</w:t>
      </w:r>
    </w:p>
    <w:p w:rsidR="00F00D80" w:rsidRDefault="00F00D80" w:rsidP="00F00D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6A5">
        <w:rPr>
          <w:rFonts w:ascii="Times New Roman" w:hAnsi="Times New Roman" w:cs="Times New Roman"/>
          <w:b/>
          <w:sz w:val="24"/>
          <w:szCs w:val="24"/>
        </w:rPr>
        <w:t>Табл</w:t>
      </w:r>
      <w:r>
        <w:rPr>
          <w:rFonts w:ascii="Times New Roman" w:hAnsi="Times New Roman" w:cs="Times New Roman"/>
          <w:b/>
          <w:sz w:val="24"/>
          <w:szCs w:val="24"/>
        </w:rPr>
        <w:t>ица 2</w:t>
      </w:r>
    </w:p>
    <w:tbl>
      <w:tblPr>
        <w:tblW w:w="9184" w:type="dxa"/>
        <w:tblInd w:w="93" w:type="dxa"/>
        <w:tblLook w:val="04A0" w:firstRow="1" w:lastRow="0" w:firstColumn="1" w:lastColumn="0" w:noHBand="0" w:noVBand="1"/>
      </w:tblPr>
      <w:tblGrid>
        <w:gridCol w:w="4224"/>
        <w:gridCol w:w="938"/>
        <w:gridCol w:w="1689"/>
        <w:gridCol w:w="938"/>
        <w:gridCol w:w="1689"/>
      </w:tblGrid>
      <w:tr w:rsidR="00F00D80" w:rsidRPr="00F00D80" w:rsidTr="00F00D80">
        <w:trPr>
          <w:trHeight w:val="255"/>
        </w:trPr>
        <w:tc>
          <w:tcPr>
            <w:tcW w:w="4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Приток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Отток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долларов США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В процентах </w:t>
            </w:r>
            <w:proofErr w:type="gramStart"/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долларов США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В процентах </w:t>
            </w:r>
            <w:proofErr w:type="gramStart"/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0D80" w:rsidRPr="00F00D80" w:rsidTr="00F00D80">
        <w:trPr>
          <w:trHeight w:val="900"/>
        </w:trPr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соответствующему периоду прошлого года</w:t>
            </w: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соответствующему периоду прошлого года</w:t>
            </w:r>
          </w:p>
        </w:tc>
      </w:tr>
      <w:tr w:rsidR="00F00D80" w:rsidRPr="00F00D80" w:rsidTr="00F00D80">
        <w:trPr>
          <w:trHeight w:val="31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176 705,7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169 799,4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68,7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хозяйство, лесное хозяйство и рыболовство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29 221,8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13 423,7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Обрабатывающие  производства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10 306,3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43 352,5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131,3</w:t>
            </w:r>
          </w:p>
        </w:tc>
      </w:tr>
      <w:tr w:rsidR="00F00D80" w:rsidRPr="00F00D80" w:rsidTr="00F00D80">
        <w:trPr>
          <w:trHeight w:val="72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(снабжение) электроэнергией, газом,  паром и кондиционированным воздухом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F00D80" w:rsidRPr="00F00D80" w:rsidTr="00F00D80">
        <w:trPr>
          <w:trHeight w:val="48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Водоснабжение, очистка, обработка отходов   и получение вторичного сырья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00D80" w:rsidRPr="00F00D80" w:rsidTr="00F00D8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9 629,3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1 584,3</w:t>
            </w:r>
          </w:p>
        </w:tc>
      </w:tr>
      <w:tr w:rsidR="00F00D80" w:rsidRPr="00F00D80" w:rsidTr="00F00D80">
        <w:trPr>
          <w:trHeight w:val="48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Оптовая и розничная торговля; ремонт    автомобилей и мотоциклов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10 792,9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5 098,4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Транспортная деятельность и хранение грузов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 гостиниц и ресторанов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Информация и связь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12 628,5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256,1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Финансовое посредничество и страхование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9 891,1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Операции с недвижимым имуществом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Профессиональная, научная и техническая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100 787,7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95 322,6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Административная и вспомогательная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509,0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Здравоохранение и социальное обслуживание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284,5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Искусство, развлечения и отдых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</w:tr>
      <w:tr w:rsidR="00F00D80" w:rsidRPr="00F00D80" w:rsidTr="00F00D80">
        <w:trPr>
          <w:trHeight w:val="255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Прочая обслуживающая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80" w:rsidRPr="00F00D80" w:rsidRDefault="00F00D80" w:rsidP="00F0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00D80" w:rsidRPr="00F00D80" w:rsidTr="00F00D8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80" w:rsidRPr="00F00D80" w:rsidRDefault="00F00D80" w:rsidP="00F0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00D80" w:rsidRDefault="00F00D80" w:rsidP="00F00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DF" w:rsidRPr="007607DF" w:rsidRDefault="007607DF" w:rsidP="007607DF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поступления прямых иностранных инвестиций из стран вне СНГ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163,7 млн. долл. США и по сравнению с соответствующим периодом 2018</w:t>
      </w: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увеличились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7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53,7 %</w:t>
      </w:r>
      <w:r w:rsidRPr="007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 за счет их роста из </w:t>
      </w:r>
      <w:r w:rsidR="00E27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Мальты (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260 раза</w:t>
      </w:r>
      <w:r w:rsidR="00E270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Новой Зеландии (в 10 раз),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53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Китая (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1E53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1E53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E53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раза),</w:t>
      </w:r>
      <w:r w:rsidR="00161E53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бъединенны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абски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Эмиpат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5,8 раза</w:t>
      </w:r>
      <w:r w:rsidR="00161E53" w:rsidRP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Франции (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5,3 раза), </w:t>
      </w: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27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</w:t>
      </w: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E270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0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раза), 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Японии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Пакистана (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раза), Турции (</w:t>
      </w:r>
      <w:r w:rsidR="00F21A1A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E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A1A">
        <w:rPr>
          <w:rFonts w:ascii="Times New Roman" w:eastAsia="Times New Roman" w:hAnsi="Times New Roman" w:cs="Times New Roman"/>
          <w:sz w:val="28"/>
          <w:szCs w:val="28"/>
          <w:lang w:eastAsia="ru-RU"/>
        </w:rPr>
        <w:t>,4 раза).</w:t>
      </w:r>
    </w:p>
    <w:p w:rsidR="00D44C74" w:rsidRPr="00006E9D" w:rsidRDefault="007607DF" w:rsidP="00D44C74">
      <w:pPr>
        <w:pStyle w:val="2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eastAsia="Calibri" w:hAnsi="Times New Roman" w:cs="Times New Roman"/>
          <w:b/>
          <w:sz w:val="28"/>
          <w:szCs w:val="28"/>
        </w:rPr>
        <w:t>Объемы поступления прямых иностранных инвестиций из стран СНГ</w:t>
      </w:r>
      <w:r w:rsidRPr="00760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13,0</w:t>
      </w:r>
      <w:r w:rsidR="00A4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4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США и по сравнению с соответствующим периодом 2018</w:t>
      </w:r>
      <w:r w:rsidR="00A42D9C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42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D9C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9C" w:rsidRPr="007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увеличились </w:t>
      </w:r>
      <w:r w:rsidR="00A42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42D9C" w:rsidRPr="007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6,9</w:t>
      </w:r>
      <w:r w:rsidR="00A42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="00A42D9C" w:rsidRPr="007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2D9C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</w:t>
      </w:r>
      <w:r w:rsidRPr="00760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C74" w:rsidRPr="00006E9D">
        <w:rPr>
          <w:rFonts w:ascii="Times New Roman" w:hAnsi="Times New Roman"/>
          <w:sz w:val="28"/>
          <w:szCs w:val="28"/>
        </w:rPr>
        <w:t xml:space="preserve">за счет роста инвестиций из </w:t>
      </w:r>
      <w:r w:rsidR="00D44C74">
        <w:rPr>
          <w:rFonts w:ascii="Times New Roman" w:hAnsi="Times New Roman"/>
          <w:sz w:val="28"/>
          <w:szCs w:val="28"/>
        </w:rPr>
        <w:t xml:space="preserve">Азербайджана </w:t>
      </w:r>
      <w:r w:rsidR="00B442EF">
        <w:rPr>
          <w:rFonts w:ascii="Times New Roman" w:hAnsi="Times New Roman"/>
          <w:sz w:val="28"/>
          <w:szCs w:val="28"/>
        </w:rPr>
        <w:t>в</w:t>
      </w:r>
      <w:r w:rsidR="00D44C74" w:rsidRPr="00006E9D">
        <w:rPr>
          <w:rFonts w:ascii="Times New Roman" w:hAnsi="Times New Roman"/>
          <w:sz w:val="28"/>
          <w:szCs w:val="28"/>
        </w:rPr>
        <w:t xml:space="preserve"> </w:t>
      </w:r>
      <w:r w:rsidR="00D44C74">
        <w:rPr>
          <w:rFonts w:ascii="Times New Roman" w:hAnsi="Times New Roman"/>
          <w:sz w:val="28"/>
          <w:szCs w:val="28"/>
        </w:rPr>
        <w:t>8,3 раза, Украин</w:t>
      </w:r>
      <w:r w:rsidR="00B442EF">
        <w:rPr>
          <w:rFonts w:ascii="Times New Roman" w:hAnsi="Times New Roman"/>
          <w:sz w:val="28"/>
          <w:szCs w:val="28"/>
        </w:rPr>
        <w:t>ы</w:t>
      </w:r>
      <w:r w:rsidR="00D44C74">
        <w:rPr>
          <w:rFonts w:ascii="Times New Roman" w:hAnsi="Times New Roman"/>
          <w:sz w:val="28"/>
          <w:szCs w:val="28"/>
        </w:rPr>
        <w:t xml:space="preserve"> </w:t>
      </w:r>
      <w:r w:rsidR="00B442EF">
        <w:rPr>
          <w:rFonts w:ascii="Times New Roman" w:hAnsi="Times New Roman"/>
          <w:sz w:val="28"/>
          <w:szCs w:val="28"/>
        </w:rPr>
        <w:t>в</w:t>
      </w:r>
      <w:r w:rsidR="00D44C74">
        <w:rPr>
          <w:rFonts w:ascii="Times New Roman" w:hAnsi="Times New Roman"/>
          <w:sz w:val="28"/>
          <w:szCs w:val="28"/>
        </w:rPr>
        <w:t xml:space="preserve"> 5,5 раза, Беларусь </w:t>
      </w:r>
      <w:r w:rsidR="00B442EF">
        <w:rPr>
          <w:rFonts w:ascii="Times New Roman" w:hAnsi="Times New Roman"/>
          <w:sz w:val="28"/>
          <w:szCs w:val="28"/>
        </w:rPr>
        <w:t>в 3</w:t>
      </w:r>
      <w:r w:rsidR="00D44C74">
        <w:rPr>
          <w:rFonts w:ascii="Times New Roman" w:hAnsi="Times New Roman"/>
          <w:sz w:val="28"/>
          <w:szCs w:val="28"/>
        </w:rPr>
        <w:t xml:space="preserve">,4 </w:t>
      </w:r>
      <w:r w:rsidR="00D44C74">
        <w:rPr>
          <w:rFonts w:ascii="Times New Roman" w:hAnsi="Times New Roman"/>
          <w:sz w:val="28"/>
          <w:szCs w:val="28"/>
        </w:rPr>
        <w:lastRenderedPageBreak/>
        <w:t xml:space="preserve">раза, </w:t>
      </w:r>
      <w:r w:rsidR="00B442EF">
        <w:rPr>
          <w:rFonts w:ascii="Times New Roman" w:hAnsi="Times New Roman"/>
          <w:sz w:val="28"/>
          <w:szCs w:val="28"/>
        </w:rPr>
        <w:t>Российской Федерации – на 94,5 %</w:t>
      </w:r>
      <w:r w:rsidR="00D44C74" w:rsidRPr="00006E9D">
        <w:rPr>
          <w:rFonts w:ascii="Times New Roman" w:hAnsi="Times New Roman"/>
          <w:sz w:val="28"/>
          <w:szCs w:val="28"/>
        </w:rPr>
        <w:t>. Наряду с этим, инвестиции из Казахстана снизилис</w:t>
      </w:r>
      <w:r w:rsidR="00B442EF">
        <w:rPr>
          <w:rFonts w:ascii="Times New Roman" w:hAnsi="Times New Roman"/>
          <w:sz w:val="28"/>
          <w:szCs w:val="28"/>
        </w:rPr>
        <w:t>ь на 34 % и</w:t>
      </w:r>
      <w:r w:rsidR="00D44C74">
        <w:rPr>
          <w:rFonts w:ascii="Times New Roman" w:hAnsi="Times New Roman"/>
          <w:sz w:val="28"/>
          <w:szCs w:val="28"/>
        </w:rPr>
        <w:t xml:space="preserve"> </w:t>
      </w:r>
      <w:r w:rsidR="00B442EF">
        <w:rPr>
          <w:rFonts w:ascii="Times New Roman" w:hAnsi="Times New Roman"/>
          <w:sz w:val="28"/>
          <w:szCs w:val="28"/>
        </w:rPr>
        <w:t>Таджикистана</w:t>
      </w:r>
      <w:r w:rsidR="00D44C74">
        <w:rPr>
          <w:rFonts w:ascii="Times New Roman" w:hAnsi="Times New Roman"/>
          <w:sz w:val="28"/>
          <w:szCs w:val="28"/>
        </w:rPr>
        <w:t xml:space="preserve"> – </w:t>
      </w:r>
      <w:r w:rsidR="00B442EF">
        <w:rPr>
          <w:rFonts w:ascii="Times New Roman" w:hAnsi="Times New Roman"/>
          <w:sz w:val="28"/>
          <w:szCs w:val="28"/>
        </w:rPr>
        <w:t>на 21 %</w:t>
      </w:r>
      <w:r w:rsidR="00D44C74" w:rsidRPr="00006E9D">
        <w:rPr>
          <w:rFonts w:ascii="Times New Roman" w:hAnsi="Times New Roman"/>
          <w:sz w:val="28"/>
          <w:szCs w:val="28"/>
        </w:rPr>
        <w:t>.</w:t>
      </w:r>
    </w:p>
    <w:p w:rsidR="00E655D6" w:rsidRDefault="00E655D6" w:rsidP="007607D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43" w:rsidRDefault="00935C01" w:rsidP="0093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01">
        <w:rPr>
          <w:rFonts w:ascii="Times New Roman" w:hAnsi="Times New Roman" w:cs="Times New Roman"/>
          <w:b/>
          <w:sz w:val="28"/>
          <w:szCs w:val="28"/>
        </w:rPr>
        <w:t>Поступление прямых иностранных инвестиций по территории в 1 квартале 2019г.</w:t>
      </w:r>
    </w:p>
    <w:p w:rsidR="00935C01" w:rsidRPr="00935C01" w:rsidRDefault="00935C01" w:rsidP="00935C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6A5">
        <w:rPr>
          <w:rFonts w:ascii="Times New Roman" w:hAnsi="Times New Roman" w:cs="Times New Roman"/>
          <w:b/>
          <w:sz w:val="24"/>
          <w:szCs w:val="24"/>
        </w:rPr>
        <w:t>Табл</w:t>
      </w:r>
      <w:r>
        <w:rPr>
          <w:rFonts w:ascii="Times New Roman" w:hAnsi="Times New Roman" w:cs="Times New Roman"/>
          <w:b/>
          <w:sz w:val="24"/>
          <w:szCs w:val="24"/>
        </w:rPr>
        <w:t>ица 3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2509"/>
        <w:gridCol w:w="1145"/>
        <w:gridCol w:w="2073"/>
        <w:gridCol w:w="1145"/>
        <w:gridCol w:w="2073"/>
      </w:tblGrid>
      <w:tr w:rsidR="00E655D6" w:rsidRPr="00E655D6" w:rsidTr="00935C01">
        <w:trPr>
          <w:trHeight w:val="258"/>
        </w:trPr>
        <w:tc>
          <w:tcPr>
            <w:tcW w:w="2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Приток</w:t>
            </w:r>
          </w:p>
        </w:tc>
        <w:tc>
          <w:tcPr>
            <w:tcW w:w="3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Отток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долларов США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В процентах </w:t>
            </w:r>
            <w:proofErr w:type="gramStart"/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долларов США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В процентах </w:t>
            </w:r>
            <w:proofErr w:type="gramStart"/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55D6" w:rsidRPr="00E655D6" w:rsidTr="00935C01">
        <w:trPr>
          <w:trHeight w:val="594"/>
        </w:trPr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B220EF" w:rsidRDefault="00E655D6" w:rsidP="00E655D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соответствующему периоду прошлого года</w:t>
            </w: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соответствующему периоду прошлого года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176 705,7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169 799,4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68,7</w:t>
            </w:r>
          </w:p>
        </w:tc>
      </w:tr>
      <w:tr w:rsidR="00E655D6" w:rsidRPr="00E655D6" w:rsidTr="001B7A4E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Баткенская</w:t>
            </w:r>
            <w:proofErr w:type="spellEnd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16 114,3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Джалал-Абадская</w:t>
            </w:r>
            <w:proofErr w:type="spellEnd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121 677,9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11 959,3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Иссык-Кульская область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18 807,2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1 534,8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Нарынская</w:t>
            </w:r>
            <w:proofErr w:type="spellEnd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3 286,2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Ошская</w:t>
            </w:r>
            <w:proofErr w:type="spellEnd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область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Таласская</w:t>
            </w:r>
            <w:proofErr w:type="spellEnd"/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2 463,0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189 461,5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Чуйская область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8 457,7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113 800,0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 г. Бишкек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43 503,0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22 353,6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E655D6" w:rsidRPr="00E655D6" w:rsidTr="00935C01">
        <w:trPr>
          <w:trHeight w:val="2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  г. Ош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D6" w:rsidRPr="00E655D6" w:rsidRDefault="00E655D6" w:rsidP="00E6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5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655D6" w:rsidRDefault="00E655D6" w:rsidP="00F00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01" w:rsidRPr="007607DF" w:rsidRDefault="00935C01" w:rsidP="001B7A4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1535FD" w:rsidRPr="001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соответствующим периодом 2018 года </w:t>
      </w:r>
      <w:r w:rsidR="001B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7A4E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окращение </w:t>
      </w:r>
      <w:r w:rsidR="001B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1B7A4E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1B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иностранных инвестиций</w:t>
      </w:r>
      <w:r w:rsidR="001B7A4E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1B7A4E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отмечалось </w:t>
      </w:r>
      <w:r w:rsidR="001B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областях и гор</w:t>
      </w:r>
      <w:r w:rsidR="00320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Ош. При этом</w:t>
      </w:r>
      <w:r w:rsidR="001B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</w:t>
      </w:r>
      <w:r w:rsidR="001B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иностранных инвестиций</w:t>
      </w:r>
      <w:r w:rsidR="001B7A4E" w:rsidRPr="007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3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Джалал-Абадскую</w:t>
      </w:r>
      <w:proofErr w:type="spellEnd"/>
      <w:r w:rsidR="0003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r w:rsidR="0032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</w:t>
      </w:r>
      <w:r w:rsidR="0003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2,5 раза и гор. Бишкек – на 21 %. </w:t>
      </w:r>
    </w:p>
    <w:p w:rsidR="00935C01" w:rsidRPr="00F00D80" w:rsidRDefault="00935C01" w:rsidP="00F00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C01" w:rsidRPr="00F0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9"/>
    <w:rsid w:val="00031E16"/>
    <w:rsid w:val="000D2D41"/>
    <w:rsid w:val="000E038F"/>
    <w:rsid w:val="001535FD"/>
    <w:rsid w:val="00161E53"/>
    <w:rsid w:val="001B7A4E"/>
    <w:rsid w:val="001C42C0"/>
    <w:rsid w:val="001E3605"/>
    <w:rsid w:val="00304301"/>
    <w:rsid w:val="0032094D"/>
    <w:rsid w:val="00323743"/>
    <w:rsid w:val="00417F28"/>
    <w:rsid w:val="00433237"/>
    <w:rsid w:val="00456104"/>
    <w:rsid w:val="005126A5"/>
    <w:rsid w:val="005A6329"/>
    <w:rsid w:val="0065140F"/>
    <w:rsid w:val="00725D61"/>
    <w:rsid w:val="007607DF"/>
    <w:rsid w:val="007C7EA4"/>
    <w:rsid w:val="008F7D8F"/>
    <w:rsid w:val="0092298E"/>
    <w:rsid w:val="00935C01"/>
    <w:rsid w:val="00965404"/>
    <w:rsid w:val="00A42D9C"/>
    <w:rsid w:val="00B220EF"/>
    <w:rsid w:val="00B43D46"/>
    <w:rsid w:val="00B442EF"/>
    <w:rsid w:val="00B5257A"/>
    <w:rsid w:val="00CB0606"/>
    <w:rsid w:val="00CD1670"/>
    <w:rsid w:val="00D44C74"/>
    <w:rsid w:val="00E2700A"/>
    <w:rsid w:val="00E655D6"/>
    <w:rsid w:val="00F00D80"/>
    <w:rsid w:val="00F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6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60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6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60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Суйналиева</dc:creator>
  <cp:lastModifiedBy>Альбина Суйналиева</cp:lastModifiedBy>
  <cp:revision>31</cp:revision>
  <dcterms:created xsi:type="dcterms:W3CDTF">2019-07-03T04:53:00Z</dcterms:created>
  <dcterms:modified xsi:type="dcterms:W3CDTF">2019-07-03T06:22:00Z</dcterms:modified>
</cp:coreProperties>
</file>