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DB" w:rsidRDefault="007E12DB" w:rsidP="007E12D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12DB" w:rsidRDefault="007E12DB" w:rsidP="007E12D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E12DB" w:rsidRPr="00C767AF" w:rsidRDefault="007E12DB" w:rsidP="007E12D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767AF">
        <w:rPr>
          <w:rFonts w:ascii="Times New Roman" w:hAnsi="Times New Roman" w:cs="Times New Roman"/>
          <w:sz w:val="24"/>
          <w:szCs w:val="24"/>
        </w:rPr>
        <w:t>Приложение</w:t>
      </w:r>
    </w:p>
    <w:p w:rsidR="007E12DB" w:rsidRDefault="007E12DB" w:rsidP="007E12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2DB" w:rsidRPr="00A42CD9" w:rsidRDefault="007E12DB" w:rsidP="007E12DB">
      <w:pPr>
        <w:pStyle w:val="a5"/>
        <w:rPr>
          <w:rFonts w:ascii="Times New Roman" w:hAnsi="Times New Roman" w:cs="Times New Roman"/>
          <w:sz w:val="24"/>
          <w:szCs w:val="24"/>
        </w:rPr>
      </w:pPr>
      <w:r w:rsidRPr="00A42CD9">
        <w:rPr>
          <w:rFonts w:ascii="Times New Roman" w:hAnsi="Times New Roman" w:cs="Times New Roman"/>
          <w:sz w:val="24"/>
          <w:szCs w:val="24"/>
        </w:rPr>
        <w:t xml:space="preserve">Наименование субъекта противодействия коррупции (название государственного органа и органа местного самоуправления) </w:t>
      </w:r>
    </w:p>
    <w:p w:rsidR="007E12DB" w:rsidRPr="000B6927" w:rsidRDefault="007E12DB" w:rsidP="007E12DB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0B6927">
        <w:rPr>
          <w:rFonts w:ascii="Times New Roman" w:hAnsi="Times New Roman" w:cs="Times New Roman"/>
          <w:sz w:val="24"/>
          <w:szCs w:val="24"/>
          <w:u w:val="single"/>
        </w:rPr>
        <w:t>Министерство экономики Кыргызской Республики</w:t>
      </w:r>
    </w:p>
    <w:p w:rsidR="007E12DB" w:rsidRPr="000B6927" w:rsidRDefault="007E12DB" w:rsidP="007E12DB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A42CD9">
        <w:rPr>
          <w:rFonts w:ascii="Times New Roman" w:hAnsi="Times New Roman" w:cs="Times New Roman"/>
          <w:sz w:val="24"/>
          <w:szCs w:val="24"/>
        </w:rPr>
        <w:t xml:space="preserve">Период предоставления отчетности (число, месяц, год) </w:t>
      </w:r>
      <w:r w:rsidR="00272B56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9918B5" w:rsidRPr="009918B5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="009918B5">
        <w:rPr>
          <w:rFonts w:ascii="Times New Roman" w:hAnsi="Times New Roman" w:cs="Times New Roman"/>
          <w:sz w:val="24"/>
          <w:szCs w:val="24"/>
          <w:u w:val="single"/>
        </w:rPr>
        <w:t>квратал</w:t>
      </w:r>
      <w:r w:rsidR="00951805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72B56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C41955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272B56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7E12DB" w:rsidRPr="00A42CD9" w:rsidRDefault="007E12DB" w:rsidP="007E12DB">
      <w:pPr>
        <w:pStyle w:val="a5"/>
        <w:rPr>
          <w:rFonts w:ascii="Times New Roman" w:hAnsi="Times New Roman" w:cs="Times New Roman"/>
          <w:sz w:val="24"/>
          <w:szCs w:val="24"/>
        </w:rPr>
      </w:pPr>
      <w:r w:rsidRPr="00A42CD9">
        <w:rPr>
          <w:rFonts w:ascii="Times New Roman" w:hAnsi="Times New Roman" w:cs="Times New Roman"/>
          <w:sz w:val="24"/>
          <w:szCs w:val="24"/>
        </w:rPr>
        <w:t xml:space="preserve">ФИО, должность </w:t>
      </w:r>
      <w:r w:rsidR="00C41955">
        <w:rPr>
          <w:rFonts w:ascii="Times New Roman" w:hAnsi="Times New Roman" w:cs="Times New Roman"/>
          <w:sz w:val="24"/>
          <w:szCs w:val="24"/>
          <w:u w:val="single"/>
        </w:rPr>
        <w:t>Турдиев Тахир Ширович</w:t>
      </w:r>
    </w:p>
    <w:p w:rsidR="007E12DB" w:rsidRPr="00295102" w:rsidRDefault="007E12DB" w:rsidP="007E12DB">
      <w:pPr>
        <w:pStyle w:val="a5"/>
        <w:rPr>
          <w:rFonts w:ascii="Times New Roman" w:hAnsi="Times New Roman" w:cs="Times New Roman"/>
          <w:sz w:val="24"/>
          <w:szCs w:val="24"/>
        </w:rPr>
      </w:pPr>
      <w:r w:rsidRPr="00A42CD9">
        <w:rPr>
          <w:rFonts w:ascii="Times New Roman" w:hAnsi="Times New Roman" w:cs="Times New Roman"/>
          <w:sz w:val="24"/>
          <w:szCs w:val="24"/>
        </w:rPr>
        <w:t xml:space="preserve">Контактные данные: адрес электронной почты, номер служебного телефона </w:t>
      </w:r>
      <w:r w:rsidR="00C41955">
        <w:rPr>
          <w:rFonts w:ascii="Times New Roman" w:hAnsi="Times New Roman" w:cs="Times New Roman"/>
          <w:sz w:val="24"/>
          <w:szCs w:val="24"/>
          <w:u w:val="single"/>
        </w:rPr>
        <w:t>62-49-20</w:t>
      </w:r>
      <w:r w:rsidRPr="000B692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41955">
        <w:rPr>
          <w:rFonts w:ascii="Times New Roman" w:hAnsi="Times New Roman" w:cs="Times New Roman"/>
          <w:sz w:val="24"/>
          <w:szCs w:val="24"/>
          <w:u w:val="single"/>
          <w:lang w:val="en-US"/>
        </w:rPr>
        <w:t>turdiev</w:t>
      </w:r>
      <w:r w:rsidR="00C41955" w:rsidRPr="00C41955">
        <w:rPr>
          <w:rFonts w:ascii="Times New Roman" w:hAnsi="Times New Roman" w:cs="Times New Roman"/>
          <w:sz w:val="24"/>
          <w:szCs w:val="24"/>
          <w:u w:val="single"/>
        </w:rPr>
        <w:t>1980@</w:t>
      </w:r>
      <w:r w:rsidR="00C41955">
        <w:rPr>
          <w:rFonts w:ascii="Times New Roman" w:hAnsi="Times New Roman" w:cs="Times New Roman"/>
          <w:sz w:val="24"/>
          <w:szCs w:val="24"/>
          <w:u w:val="single"/>
          <w:lang w:val="en-US"/>
        </w:rPr>
        <w:t>inbox</w:t>
      </w:r>
      <w:r w:rsidR="00C41955" w:rsidRPr="00C4195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4195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7E12DB" w:rsidRPr="00A42CD9" w:rsidRDefault="007E12DB" w:rsidP="007E12DB">
      <w:pPr>
        <w:pStyle w:val="a5"/>
        <w:rPr>
          <w:rFonts w:ascii="Times New Roman" w:hAnsi="Times New Roman" w:cs="Times New Roman"/>
          <w:sz w:val="24"/>
          <w:szCs w:val="24"/>
        </w:rPr>
      </w:pPr>
      <w:r w:rsidRPr="00A42C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12DB" w:rsidRDefault="007E12DB" w:rsidP="007E12D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661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74"/>
        <w:gridCol w:w="1705"/>
        <w:gridCol w:w="395"/>
        <w:gridCol w:w="152"/>
        <w:gridCol w:w="3136"/>
        <w:gridCol w:w="430"/>
        <w:gridCol w:w="141"/>
        <w:gridCol w:w="141"/>
        <w:gridCol w:w="1415"/>
        <w:gridCol w:w="145"/>
        <w:gridCol w:w="141"/>
        <w:gridCol w:w="4254"/>
        <w:gridCol w:w="141"/>
        <w:gridCol w:w="141"/>
        <w:gridCol w:w="141"/>
        <w:gridCol w:w="1846"/>
        <w:gridCol w:w="285"/>
        <w:gridCol w:w="2170"/>
        <w:gridCol w:w="2240"/>
      </w:tblGrid>
      <w:tr w:rsidR="007E12DB" w:rsidTr="000A560E">
        <w:trPr>
          <w:gridAfter w:val="3"/>
          <w:wAfter w:w="1202" w:type="pct"/>
        </w:trPr>
        <w:tc>
          <w:tcPr>
            <w:tcW w:w="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DB" w:rsidRDefault="007E12DB" w:rsidP="008C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DB" w:rsidRDefault="007E12DB" w:rsidP="008C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DB" w:rsidRDefault="007E12DB" w:rsidP="008C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Меры/Действия</w:t>
            </w:r>
          </w:p>
        </w:tc>
        <w:tc>
          <w:tcPr>
            <w:tcW w:w="50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DB" w:rsidRPr="00AE2CFE" w:rsidRDefault="007E12DB" w:rsidP="008C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орган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0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DB" w:rsidRDefault="007E12DB" w:rsidP="008C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58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DB" w:rsidRDefault="007E12DB" w:rsidP="008C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завершения</w:t>
            </w:r>
          </w:p>
        </w:tc>
      </w:tr>
      <w:tr w:rsidR="007E12DB" w:rsidTr="000A560E">
        <w:trPr>
          <w:gridAfter w:val="3"/>
          <w:wAfter w:w="1202" w:type="pct"/>
        </w:trPr>
        <w:tc>
          <w:tcPr>
            <w:tcW w:w="3798" w:type="pct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564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V. Повышение качества проведения антикоррупционной экспертизы НПА (проектов НПА)</w:t>
            </w:r>
          </w:p>
        </w:tc>
      </w:tr>
      <w:tr w:rsidR="007E12DB" w:rsidTr="000A560E">
        <w:trPr>
          <w:gridAfter w:val="3"/>
          <w:wAfter w:w="1202" w:type="pct"/>
        </w:trPr>
        <w:tc>
          <w:tcPr>
            <w:tcW w:w="1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Снизить административную и регулятивную нагрузку государства на предпринимательскую деятельность на основе применения "принципа гильотины"</w:t>
            </w:r>
          </w:p>
        </w:tc>
        <w:tc>
          <w:tcPr>
            <w:tcW w:w="95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автоматизированного систематического анализа НПА, оказывающих влияние на предпринимательскую деятельность и устранение регулятивных барьеров, необоснованных и неприемлемых для рыночной экономики (с обязательным проведением антикоррупционной экспертизы)</w:t>
            </w:r>
          </w:p>
        </w:tc>
        <w:tc>
          <w:tcPr>
            <w:tcW w:w="507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МЭ, МЮ, государственные органы, проект по регуляторной реформе ОБСЕ (по согласованию)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стабильного законодательства, способствующего развитию бизнес-среды и улучшению инвестиционного климата, а также снижение вмешательства государства в регулирование предпринимательской деятельности/количество НПА</w:t>
            </w:r>
          </w:p>
        </w:tc>
        <w:tc>
          <w:tcPr>
            <w:tcW w:w="58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 года</w:t>
            </w:r>
          </w:p>
        </w:tc>
      </w:tr>
      <w:tr w:rsidR="007E12DB" w:rsidTr="000A560E">
        <w:trPr>
          <w:gridAfter w:val="3"/>
          <w:wAfter w:w="1202" w:type="pct"/>
        </w:trPr>
        <w:tc>
          <w:tcPr>
            <w:tcW w:w="3798" w:type="pct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Отчет о выполнении</w:t>
            </w:r>
          </w:p>
          <w:p w:rsidR="004015D0" w:rsidRPr="00F4709B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 xml:space="preserve">19 марта 2014 года подписан </w:t>
            </w:r>
            <w:r w:rsidRPr="00F4709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Меморандум о взаимопонимании </w:t>
            </w:r>
            <w:r w:rsidRPr="00F470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 Правительством Кыргызской Республики и Центром </w:t>
            </w: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Организации по безопасности и сотрудничеству в Европе</w:t>
            </w:r>
            <w:r w:rsidRPr="00F470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(ОБСЕ)  в г.Бишкек  по  реализации проекта по регулятивной реформе «Системный анализ регулирования» (одобрен распоряжением ПКР № 87-р от 19.03.2014 г.).</w:t>
            </w:r>
          </w:p>
          <w:p w:rsidR="004015D0" w:rsidRPr="00F4709B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В реализацию данного меморандума постановлением Правительства КР от 12 января 2015 г. № 4 «О реализации проекта по регулятивной реформе «Системный анализ регулирования» был образован Совет по регулятивной реформе под председательством Премьер-министра КР, Министерство экономики КР определено секретариатом Совета и рабочим органом Совета - Отдел по регулятивной реформе.</w:t>
            </w:r>
          </w:p>
          <w:p w:rsidR="004015D0" w:rsidRPr="00F4709B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принятием данного постановления Правительства КР была запущена регулятивная реформа «Системный анализ регулирования». </w:t>
            </w:r>
          </w:p>
          <w:p w:rsidR="004015D0" w:rsidRPr="00F4709B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Цель реформы - упрощение законодательной базы в сфере предпринимательства, радикальное изменение инвестиционного климата в Кыргызстане, минимизация коррупции и создание благоприятных условий для национальных и зарубежных инвесторов с тем, чтобы их деятельность способствовала динамичному развитию экономики и улучшению социальных условий. </w:t>
            </w:r>
          </w:p>
          <w:p w:rsidR="004015D0" w:rsidRPr="00F4709B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Субъекты проводимой реформы:</w:t>
            </w:r>
          </w:p>
          <w:p w:rsidR="004015D0" w:rsidRPr="00F4709B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- Совет по регулятивной реформе под председательством Премьер-министра, который является  совещательным органом;</w:t>
            </w:r>
          </w:p>
          <w:p w:rsidR="004015D0" w:rsidRPr="00F4709B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- Секретариат Совета в лице Министерства экономики;</w:t>
            </w:r>
          </w:p>
          <w:p w:rsidR="004015D0" w:rsidRPr="00F4709B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- Рабочий орган Совета - Отдел по регулятивной реформе;</w:t>
            </w:r>
          </w:p>
          <w:p w:rsidR="004015D0" w:rsidRPr="00F4709B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- 33 государственных органа;</w:t>
            </w:r>
          </w:p>
          <w:p w:rsidR="004015D0" w:rsidRPr="00F4709B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- Бизнес-сообщество.</w:t>
            </w:r>
          </w:p>
          <w:p w:rsidR="004015D0" w:rsidRPr="00F4709B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Реализация данной реформы предполагает 3 этапа:</w:t>
            </w:r>
          </w:p>
          <w:p w:rsidR="004015D0" w:rsidRPr="00F4709B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1-й этап - инвентаризация НПА, регулирующих предпринимательскую деятельность, составление исчерпывающего перечня НПА, регулирующих предпринимательскую деятельность.</w:t>
            </w:r>
          </w:p>
          <w:p w:rsidR="004015D0" w:rsidRPr="00F4709B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На данном этапе:</w:t>
            </w:r>
          </w:p>
          <w:p w:rsidR="004015D0" w:rsidRPr="00F4709B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- были обучены 84 члена рабочих групп из 34 госорганов по проведению инвентаризации и заполнению базы данных «Е-гильотина», в 34 государственных органах были созданы рабочие группы;</w:t>
            </w:r>
          </w:p>
          <w:p w:rsidR="004015D0" w:rsidRPr="00F4709B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- 72 127 документов прошли первичный анализ (инвентаризацию);</w:t>
            </w:r>
          </w:p>
          <w:p w:rsidR="004015D0" w:rsidRPr="00F4709B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- 1 487 документов, выявлены рабочими группами;</w:t>
            </w:r>
          </w:p>
          <w:p w:rsidR="004015D0" w:rsidRPr="00F4709B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-  864 документов дополнены бизнес - сообществом и экспертами;</w:t>
            </w:r>
          </w:p>
          <w:p w:rsidR="004015D0" w:rsidRPr="00F4709B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- 1996 административные процедуры, выявлены в ходе инвентаризации НПА;</w:t>
            </w:r>
          </w:p>
          <w:p w:rsidR="004015D0" w:rsidRPr="00F4709B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- 247 приоритетные административные процедуры подлежат анализу и оценке в приоритетном порядке.</w:t>
            </w:r>
          </w:p>
          <w:p w:rsidR="004015D0" w:rsidRPr="00F4709B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Таким образом, Советом по итогам первого этапа был утвержден Перечень НПА, регулирующих предпринимательскую деятельность в количестве 1068 НПА, в том числе 3388 документов.</w:t>
            </w:r>
          </w:p>
          <w:p w:rsidR="004015D0" w:rsidRPr="00F4709B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2-й этап – анализ и оценка утвержденных Советом НПА.</w:t>
            </w:r>
          </w:p>
          <w:p w:rsidR="004015D0" w:rsidRPr="00F4709B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На данном этапе 34 задействованных госоргана совместно с рабочим органом Совета провели анализ и оценку НПА.</w:t>
            </w:r>
          </w:p>
          <w:p w:rsidR="004015D0" w:rsidRPr="00F4709B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В частности, критериями для анализа и оценки явились:</w:t>
            </w:r>
          </w:p>
          <w:p w:rsidR="004015D0" w:rsidRPr="00F4709B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1) законность НПА (т.е. его четкое соответствие требованиям Закона КР «О нормативных правовых актах»);</w:t>
            </w:r>
          </w:p>
          <w:p w:rsidR="004015D0" w:rsidRPr="00F4709B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 xml:space="preserve">2) необходимость и обоснованность НПА, достижение его целей и задач; </w:t>
            </w:r>
          </w:p>
          <w:p w:rsidR="004015D0" w:rsidRPr="00F4709B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3) способствование экономическому развитию и конкуренции;</w:t>
            </w:r>
          </w:p>
          <w:p w:rsidR="004015D0" w:rsidRPr="00F4709B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4) прозрачность и стабильность госрегулирования;</w:t>
            </w:r>
          </w:p>
          <w:p w:rsidR="004015D0" w:rsidRPr="00F4709B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5) противодействие коррупции.</w:t>
            </w:r>
          </w:p>
          <w:p w:rsidR="004015D0" w:rsidRPr="00F4709B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По результатам данного этапа были выработаны следующие рекомендации:</w:t>
            </w:r>
          </w:p>
          <w:p w:rsidR="004015D0" w:rsidRPr="00F4709B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- 80% проанализированных НПА оставить без изменений;</w:t>
            </w:r>
          </w:p>
          <w:p w:rsidR="004015D0" w:rsidRPr="00F4709B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-  20% - внести изменения или подать на утрату.</w:t>
            </w:r>
          </w:p>
          <w:p w:rsidR="004015D0" w:rsidRPr="00F4709B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сегодняшний день проходит 3-й этап - разработка  и внесение рекомендаций по оптимизации НПА на рассмотрение Правительства КР.</w:t>
            </w:r>
          </w:p>
          <w:p w:rsidR="004015D0" w:rsidRPr="00F4709B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Согласно результатам 2 этапа, в ходе совместной работы госорганов, предпринимателей и экспертов отдела по регулятивной реформе подготовлены рекомендации к 192 НПА, что составляет 18 % от общего числа НПА,  утвержденных Советом.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Данные рекомендации следующие:</w:t>
            </w: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15D0" w:rsidRPr="00F4709B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1) признать утратившим силу  - 76 НПА;</w:t>
            </w:r>
          </w:p>
          <w:p w:rsidR="004015D0" w:rsidRPr="00F4709B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2) внести изменения и дополнения – 41 НПА;</w:t>
            </w:r>
          </w:p>
          <w:p w:rsidR="004015D0" w:rsidRPr="00F4709B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3) оставить как есть -75 НПА.</w:t>
            </w:r>
          </w:p>
          <w:p w:rsidR="004015D0" w:rsidRPr="00F4709B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Данные рекомендации были обсуждены с представителями бизнес-сообщества и с государственными органами, с каждым из которых подписаны протоколы по итогам согласования рекомендаций к НПА.</w:t>
            </w:r>
          </w:p>
          <w:p w:rsidR="004015D0" w:rsidRPr="00F4709B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 xml:space="preserve">Также, Отделом по регулятивной реформе разработаны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следующие </w:t>
            </w: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рекомендации с учетом международного опыта,  а также предложений от бизнес-сообщества и государственных органов подготовлены первоочередные рекомендации по 97 административным процедурам, что составляет 42,2% от общего числа административных процедур,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Советом на прошлом заседании:</w:t>
            </w:r>
          </w:p>
          <w:p w:rsidR="004015D0" w:rsidRPr="00F4709B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1) признать утратившим силу  - 47 административных процедур;</w:t>
            </w:r>
          </w:p>
          <w:p w:rsidR="004015D0" w:rsidRPr="00F4709B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2) изменить  - 42 административных процедур;</w:t>
            </w:r>
          </w:p>
          <w:p w:rsidR="004015D0" w:rsidRPr="00F4709B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3) оставить как есть -8 административных процедур.</w:t>
            </w:r>
          </w:p>
          <w:p w:rsidR="004015D0" w:rsidRPr="00F4709B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ab/>
              <w:t>Затраты бизнеса для прохождения 97 административных процедур в настоящее время составляют 2159 млн. сомов. После оптимизации затраты бизнеса могут быть сокращены до 42,2%  и экономия составит 321 млн. cомов.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7 июля 2016 года состоялось заседание   Совета по регулятивной реформе, на котором были утверждены указанные рекомендации.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Также на заседании министерствам и ведомствам было поручено в срок до 1 октября т.г. в установленном порядке внести проекты НПА по реализации 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рекомендаций в Правительство. </w:t>
            </w: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Остальные рекомендации к НПА будут рассмотрены на заседаниях Совета до конца текущего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Кроме того, на сегодняшний день в рамках данной реформы в 2016г. проведены свыше 500 консультаций с задействованными госорганами и представителями бизнес-сообщества, в т.ч.:</w:t>
            </w:r>
          </w:p>
          <w:p w:rsidR="004015D0" w:rsidRPr="00F4709B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 xml:space="preserve">- 305 консультаций с госорганами,  </w:t>
            </w:r>
          </w:p>
          <w:p w:rsidR="004015D0" w:rsidRDefault="004015D0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- 209 с бизнес-структурами.</w:t>
            </w:r>
          </w:p>
          <w:p w:rsidR="000A560E" w:rsidRDefault="000A560E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0E" w:rsidRDefault="000A560E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0E" w:rsidRDefault="000A560E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0E" w:rsidRDefault="000A560E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0E" w:rsidRDefault="000A560E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0E" w:rsidRDefault="000A560E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0E" w:rsidRDefault="000A560E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0E" w:rsidRPr="00F4709B" w:rsidRDefault="000A560E" w:rsidP="004015D0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F2" w:rsidRPr="003564E2" w:rsidRDefault="00961CF2" w:rsidP="005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DB" w:rsidTr="000A560E">
        <w:trPr>
          <w:gridAfter w:val="3"/>
          <w:wAfter w:w="1202" w:type="pct"/>
          <w:trHeight w:val="263"/>
        </w:trPr>
        <w:tc>
          <w:tcPr>
            <w:tcW w:w="3798" w:type="pct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564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VI. Оценка, предотвращение и управление конфликтом интересов</w:t>
            </w:r>
          </w:p>
        </w:tc>
      </w:tr>
      <w:tr w:rsidR="007E12DB" w:rsidTr="000A560E">
        <w:trPr>
          <w:gridAfter w:val="2"/>
          <w:wAfter w:w="1128" w:type="pct"/>
          <w:trHeight w:val="2445"/>
        </w:trPr>
        <w:tc>
          <w:tcPr>
            <w:tcW w:w="117" w:type="pc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Оценка, предотвращение и управление конфликтом интересов</w:t>
            </w:r>
          </w:p>
        </w:tc>
        <w:tc>
          <w:tcPr>
            <w:tcW w:w="948" w:type="pct"/>
            <w:gridSpan w:val="3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Разработка проекта Закона Кыргызской Республики "О конфликте интересов" с определением комплекса факторов, влияющих на успешность управления конфликтом интересов на государственной и муниципальной службе;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</w:t>
            </w:r>
          </w:p>
        </w:tc>
        <w:tc>
          <w:tcPr>
            <w:tcW w:w="1196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 Закон Кыргызской Республики "О конфликте интересов"</w:t>
            </w:r>
          </w:p>
        </w:tc>
        <w:tc>
          <w:tcPr>
            <w:tcW w:w="58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Pr="009C1FC4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 года</w:t>
            </w:r>
          </w:p>
        </w:tc>
      </w:tr>
      <w:tr w:rsidR="007E12DB" w:rsidTr="000A560E">
        <w:trPr>
          <w:gridAfter w:val="2"/>
          <w:wAfter w:w="1128" w:type="pct"/>
          <w:trHeight w:val="1499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Pr="003564E2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Pr="003564E2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определение ключевой структуры по формированию и реализации политики и процедур в области конфликта интересов;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ГКС (по согласованию), МЭ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проект НПА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Pr="009C1FC4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 года</w:t>
            </w:r>
          </w:p>
        </w:tc>
      </w:tr>
      <w:tr w:rsidR="007E12DB" w:rsidTr="000A560E">
        <w:trPr>
          <w:gridAfter w:val="2"/>
          <w:wAfter w:w="1128" w:type="pct"/>
          <w:trHeight w:val="1372"/>
        </w:trPr>
        <w:tc>
          <w:tcPr>
            <w:tcW w:w="117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Pr="003564E2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Pr="003564E2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обеспечение четких и реалистичных описаний обстоятельств и отношений, которые могут приводить к ситуациям конфликта интересов;</w:t>
            </w:r>
          </w:p>
        </w:tc>
        <w:tc>
          <w:tcPr>
            <w:tcW w:w="435" w:type="pct"/>
            <w:gridSpan w:val="3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орган, государственные органы, ОМСУ (по согласованию),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с </w:t>
            </w:r>
            <w:r w:rsidRPr="0035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долей участия</w:t>
            </w:r>
          </w:p>
        </w:tc>
        <w:tc>
          <w:tcPr>
            <w:tcW w:w="1196" w:type="pct"/>
            <w:gridSpan w:val="4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перечень типичных ситуаций, приводящих к конфликту интересов/количество выявленных фактов конфликта интересов и принятые по ним меры</w:t>
            </w:r>
          </w:p>
        </w:tc>
        <w:tc>
          <w:tcPr>
            <w:tcW w:w="581" w:type="pct"/>
            <w:gridSpan w:val="3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</w:pPr>
            <w:r w:rsidRPr="00A4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 года</w:t>
            </w:r>
          </w:p>
        </w:tc>
      </w:tr>
      <w:tr w:rsidR="007E12DB" w:rsidTr="000A560E">
        <w:trPr>
          <w:gridAfter w:val="2"/>
          <w:wAfter w:w="1128" w:type="pct"/>
          <w:trHeight w:val="1372"/>
        </w:trPr>
        <w:tc>
          <w:tcPr>
            <w:tcW w:w="11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Pr="003564E2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Pr="003564E2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возложить функции по обеспечению декларирования публичных и частных интересов сотрудников органов государственной власти на статс-секретарей или руководителей аппаратов государственных органов</w:t>
            </w:r>
          </w:p>
        </w:tc>
        <w:tc>
          <w:tcPr>
            <w:tcW w:w="435" w:type="pct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Pr="003564E2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ГКС (по согласованию), МЭ</w:t>
            </w:r>
          </w:p>
        </w:tc>
        <w:tc>
          <w:tcPr>
            <w:tcW w:w="1196" w:type="pct"/>
            <w:gridSpan w:val="4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Pr="003564E2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и дополнения во Временное положение о порядке проведения мониторинга соблюдения законодательства в сфере государственной службы в государственных органах, предусматривающие мониторинг состояния декларирования публичных и частных интересов государственными служащими/осуществляется мониторинг</w:t>
            </w:r>
          </w:p>
        </w:tc>
        <w:tc>
          <w:tcPr>
            <w:tcW w:w="581" w:type="pct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Pr="00BA67B6" w:rsidRDefault="007E12DB" w:rsidP="008C4756">
            <w:pPr>
              <w:spacing w:after="0" w:line="240" w:lineRule="auto"/>
            </w:pPr>
            <w:r w:rsidRPr="00A4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 года</w:t>
            </w:r>
          </w:p>
        </w:tc>
      </w:tr>
      <w:tr w:rsidR="007E12DB" w:rsidTr="000A560E">
        <w:trPr>
          <w:gridAfter w:val="2"/>
          <w:wAfter w:w="1128" w:type="pct"/>
        </w:trPr>
        <w:tc>
          <w:tcPr>
            <w:tcW w:w="3872" w:type="pct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DB" w:rsidRDefault="007E12DB" w:rsidP="008C475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Отчет о выполнении</w:t>
            </w:r>
          </w:p>
          <w:p w:rsidR="007E12DB" w:rsidRDefault="007E12DB" w:rsidP="008C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Промежуточные результаты:</w:t>
            </w:r>
          </w:p>
          <w:p w:rsidR="00C41955" w:rsidRDefault="007E12DB" w:rsidP="00C4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проект Закона КР «</w:t>
            </w:r>
            <w:r w:rsidRPr="00E3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конфликте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Уполномоченным органом по </w:t>
            </w:r>
            <w:r w:rsidRPr="00E3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 и реализации политики и процедур в области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определена Государственная кадровая служба КР.</w:t>
            </w:r>
            <w:r w:rsidRPr="00E3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3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анный законопроект принят постановлением Правительства КР от 22.07.2015 года № 518 и </w:t>
            </w:r>
            <w:r w:rsidR="00C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 в</w:t>
            </w:r>
            <w:r w:rsidR="00961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втором</w:t>
            </w:r>
            <w:r w:rsidR="00C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чтении </w:t>
            </w:r>
            <w:r w:rsidRPr="00E3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Жогорку Кенеш</w:t>
            </w:r>
            <w:r w:rsidR="00C4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E3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КР.</w:t>
            </w:r>
            <w:r w:rsidR="0027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12DB" w:rsidRDefault="007E12DB" w:rsidP="008C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DB" w:rsidTr="000A560E">
        <w:trPr>
          <w:gridAfter w:val="2"/>
          <w:wAfter w:w="1128" w:type="pct"/>
        </w:trPr>
        <w:tc>
          <w:tcPr>
            <w:tcW w:w="3872" w:type="pct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D0C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VII. Усиление взаимодействия государственных органов с гражданским обществом и повышение его информированности</w:t>
            </w:r>
          </w:p>
        </w:tc>
      </w:tr>
      <w:tr w:rsidR="007E12DB" w:rsidTr="000A560E">
        <w:trPr>
          <w:gridAfter w:val="2"/>
          <w:wAfter w:w="1128" w:type="pct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и укрепить роль общественных советов (ОС) государственных органов в сфере противодействия коррупции</w:t>
            </w:r>
          </w:p>
        </w:tc>
        <w:tc>
          <w:tcPr>
            <w:tcW w:w="9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Pr="004D0C1D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Обучение членов ОС государственных органов правовым и институциональных механизмам предупреждения коррупции;</w:t>
            </w:r>
          </w:p>
          <w:p w:rsidR="007E12DB" w:rsidRPr="004D0C1D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обеспечение прозрачности деятельности государственных органов;</w:t>
            </w:r>
          </w:p>
          <w:p w:rsidR="007E12DB" w:rsidRPr="004D0C1D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разработка совместных коммуникационных планов взаимодействия;</w:t>
            </w:r>
          </w:p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обеспечение общественного контроля за деятельностью госорганов в сфере противодействия коррупции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МЮ, государственные органы и ОМСУ (по согласованию), НПО (по согласованию), ОС (по согласованию)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обучающие семинары и тренинги, внедрены механизмы подотчетности госорганов и взаимодействия государственных органов и гражданского общества в сфере противодействия коррупции, утвержден согласованный коммуникационный план, создан действенный общественный контроль за деятельностью госорганов в сфере противодействия коррупции</w:t>
            </w:r>
          </w:p>
        </w:tc>
        <w:tc>
          <w:tcPr>
            <w:tcW w:w="65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</w:tc>
      </w:tr>
      <w:tr w:rsidR="007E12DB" w:rsidTr="000A560E">
        <w:trPr>
          <w:gridAfter w:val="2"/>
          <w:wAfter w:w="1128" w:type="pct"/>
        </w:trPr>
        <w:tc>
          <w:tcPr>
            <w:tcW w:w="3872" w:type="pct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DB" w:rsidRDefault="007E12DB" w:rsidP="008C475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Отчет о выполнении</w:t>
            </w:r>
          </w:p>
          <w:p w:rsidR="007E12DB" w:rsidRDefault="007E12DB" w:rsidP="008C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Промежуточные результаты:</w:t>
            </w:r>
          </w:p>
          <w:p w:rsidR="007E12DB" w:rsidRPr="009C03D0" w:rsidRDefault="007E12DB" w:rsidP="008C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 в ходе совместной деятельности министерства и ОС была проведена следующая работа.</w:t>
            </w:r>
          </w:p>
          <w:p w:rsidR="007E12DB" w:rsidRPr="009C03D0" w:rsidRDefault="007E12DB" w:rsidP="008C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Законом КР «Об общественных советах государственных органов» по запросу ОС, Комиссия по отбору членов общественного совета одобрила следующих кандидатов в ОС министерства:</w:t>
            </w:r>
          </w:p>
          <w:p w:rsidR="00C41955" w:rsidRPr="00C41955" w:rsidRDefault="00C41955" w:rsidP="00C419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5">
              <w:rPr>
                <w:rFonts w:ascii="Times New Roman" w:hAnsi="Times New Roman" w:cs="Times New Roman"/>
                <w:sz w:val="24"/>
                <w:szCs w:val="24"/>
              </w:rPr>
              <w:t>Идрисов Н.</w:t>
            </w:r>
          </w:p>
          <w:p w:rsidR="00C41955" w:rsidRPr="00C41955" w:rsidRDefault="00C41955" w:rsidP="00C419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5">
              <w:rPr>
                <w:rFonts w:ascii="Times New Roman" w:hAnsi="Times New Roman" w:cs="Times New Roman"/>
                <w:sz w:val="24"/>
                <w:szCs w:val="24"/>
              </w:rPr>
              <w:t>Сатыбекова А.</w:t>
            </w:r>
          </w:p>
          <w:p w:rsidR="00C41955" w:rsidRPr="00C41955" w:rsidRDefault="00C41955" w:rsidP="00C419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5">
              <w:rPr>
                <w:rFonts w:ascii="Times New Roman" w:hAnsi="Times New Roman" w:cs="Times New Roman"/>
                <w:sz w:val="24"/>
                <w:szCs w:val="24"/>
              </w:rPr>
              <w:t>Дунганаева А.</w:t>
            </w:r>
          </w:p>
          <w:p w:rsidR="00C41955" w:rsidRPr="00C41955" w:rsidRDefault="00C41955" w:rsidP="00C419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5">
              <w:rPr>
                <w:rFonts w:ascii="Times New Roman" w:hAnsi="Times New Roman" w:cs="Times New Roman"/>
                <w:sz w:val="24"/>
                <w:szCs w:val="24"/>
              </w:rPr>
              <w:t>Джуманов Е.</w:t>
            </w:r>
          </w:p>
          <w:p w:rsidR="00C41955" w:rsidRPr="00C41955" w:rsidRDefault="00C41955" w:rsidP="00C419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5">
              <w:rPr>
                <w:rFonts w:ascii="Times New Roman" w:hAnsi="Times New Roman" w:cs="Times New Roman"/>
                <w:sz w:val="24"/>
                <w:szCs w:val="24"/>
              </w:rPr>
              <w:t>Бакашова А.</w:t>
            </w:r>
          </w:p>
          <w:p w:rsidR="00C41955" w:rsidRPr="00C41955" w:rsidRDefault="00C41955" w:rsidP="00C419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5">
              <w:rPr>
                <w:rFonts w:ascii="Times New Roman" w:hAnsi="Times New Roman" w:cs="Times New Roman"/>
                <w:sz w:val="24"/>
                <w:szCs w:val="24"/>
              </w:rPr>
              <w:t>Асакеева Ч.</w:t>
            </w:r>
          </w:p>
          <w:p w:rsidR="00C41955" w:rsidRPr="00C41955" w:rsidRDefault="00C41955" w:rsidP="00C419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5">
              <w:rPr>
                <w:rFonts w:ascii="Times New Roman" w:hAnsi="Times New Roman" w:cs="Times New Roman"/>
                <w:sz w:val="24"/>
                <w:szCs w:val="24"/>
              </w:rPr>
              <w:t>Тулекеев А.</w:t>
            </w:r>
          </w:p>
          <w:p w:rsidR="00C41955" w:rsidRPr="00C41955" w:rsidRDefault="00C41955" w:rsidP="00C419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5">
              <w:rPr>
                <w:rFonts w:ascii="Times New Roman" w:hAnsi="Times New Roman" w:cs="Times New Roman"/>
                <w:sz w:val="24"/>
                <w:szCs w:val="24"/>
              </w:rPr>
              <w:t>Джумабаева М.</w:t>
            </w:r>
          </w:p>
          <w:p w:rsidR="00C41955" w:rsidRPr="00C41955" w:rsidRDefault="00C41955" w:rsidP="00C419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5">
              <w:rPr>
                <w:rFonts w:ascii="Times New Roman" w:hAnsi="Times New Roman" w:cs="Times New Roman"/>
                <w:sz w:val="24"/>
                <w:szCs w:val="24"/>
              </w:rPr>
              <w:t>Сагынбаева А.</w:t>
            </w:r>
          </w:p>
          <w:p w:rsidR="00C41955" w:rsidRPr="00C41955" w:rsidRDefault="00C41955" w:rsidP="00C419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5">
              <w:rPr>
                <w:rFonts w:ascii="Times New Roman" w:hAnsi="Times New Roman" w:cs="Times New Roman"/>
                <w:sz w:val="24"/>
                <w:szCs w:val="24"/>
              </w:rPr>
              <w:t>Чекирова А.</w:t>
            </w:r>
          </w:p>
          <w:p w:rsidR="00C41955" w:rsidRPr="00C41955" w:rsidRDefault="00C41955" w:rsidP="00C419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55">
              <w:rPr>
                <w:rFonts w:ascii="Times New Roman" w:hAnsi="Times New Roman" w:cs="Times New Roman"/>
                <w:sz w:val="24"/>
                <w:szCs w:val="24"/>
              </w:rPr>
              <w:t>Шаршеев И.</w:t>
            </w:r>
          </w:p>
          <w:p w:rsidR="004015D0" w:rsidRDefault="005B6CB1" w:rsidP="00401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015D0" w:rsidRPr="0040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</w:t>
            </w:r>
            <w:r w:rsidR="004015D0" w:rsidRPr="004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 </w:t>
            </w:r>
            <w:r w:rsidR="004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4015D0" w:rsidRPr="004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организовано и проведено</w:t>
            </w:r>
            <w:r w:rsidR="004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4015D0" w:rsidRPr="004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заседаний общественного совета. По итогам июньских заседаний были предоставлены рекомендации по презентациям структурных подразделений. </w:t>
            </w:r>
          </w:p>
          <w:p w:rsidR="000A560E" w:rsidRDefault="000A560E" w:rsidP="00401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 проведен расширенный круглый стол по обсуждению сводного отчета по исполнению стратегии антикоррупционной политики</w:t>
            </w:r>
          </w:p>
          <w:p w:rsidR="000A560E" w:rsidRPr="004015D0" w:rsidRDefault="000A560E" w:rsidP="00401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настоящий момент согласно графику структурный подразделения МЭКР проводят презентации для ОС по вопросам закупки консультационных  услуг</w:t>
            </w:r>
          </w:p>
          <w:p w:rsidR="004015D0" w:rsidRPr="004015D0" w:rsidRDefault="004015D0" w:rsidP="00401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 члены обществен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совета приняли участие в 16</w:t>
            </w:r>
            <w:r w:rsidRPr="004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проведённых тендерных комиссиях.</w:t>
            </w:r>
          </w:p>
          <w:p w:rsidR="00A565B9" w:rsidRPr="000954B4" w:rsidRDefault="003B2F3F" w:rsidP="000A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вовлечения широкой общественности в реализацию и мониторинг антикоррупционных мер министерством 12 октября 2016 года проведено широкое обсуждение Сводного отчета по итогам 1-го полугодия 2016 года с представителями гражданского общества, общественных советов и средств массовой информации.</w:t>
            </w:r>
          </w:p>
        </w:tc>
      </w:tr>
      <w:tr w:rsidR="007E12DB" w:rsidTr="000A560E">
        <w:trPr>
          <w:gridAfter w:val="2"/>
          <w:wAfter w:w="1128" w:type="pct"/>
        </w:trPr>
        <w:tc>
          <w:tcPr>
            <w:tcW w:w="3872" w:type="pct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D0C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VIII. Снижение коррупции в сфере государственного регулирования предпринимательской деятельности и предоставления государственных услуг</w:t>
            </w:r>
          </w:p>
        </w:tc>
      </w:tr>
      <w:tr w:rsidR="007E12DB" w:rsidTr="000A560E">
        <w:trPr>
          <w:gridAfter w:val="2"/>
          <w:wAfter w:w="1128" w:type="pct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диалог государственных органов с бизнес-сообществом по повышению их информированности о рисках коррупции и методов противодействия коррупции для частного сектора</w:t>
            </w:r>
          </w:p>
        </w:tc>
        <w:tc>
          <w:tcPr>
            <w:tcW w:w="9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Pr="004D0C1D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Использование существующих или создание новых площадок для проведения эффективного диалога государственных органов с бизнес-сообществом по повышению его информированности о рисках коррупции;</w:t>
            </w:r>
          </w:p>
          <w:p w:rsidR="007E12DB" w:rsidRPr="004D0C1D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разработка процедур обратной связи с бизнес-сообществом, обеспечивающих его участие и возможности представлять предложения во время подготовки проектов НПА, затрагивающих интересы частного сектора;</w:t>
            </w:r>
          </w:p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оперативное рассмотрение обращений представителей бизнеса по конкретным случаям коррупционного давления и рейдерства (количество рассмотренных обращений и принятые меры)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МЮ, Генпрокуратура (по согласованию), МЭ, государственные органы, ОМСУ (по согласованию), НПО (по согласованию), ОС (по согласованию)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активное взаимодействие госорганов и бизнес-сообщества, подготовлены и реализованы предложения по улучшению законодательства и правоприменительной практики в части защиты прав частного сектора. Широкое освещение в СМИ мероприятий, проведенных с участием предпринимателей/описание мероприятий проведенных с участием представителей бизнес-сообщества в противодействии коррупции</w:t>
            </w:r>
          </w:p>
        </w:tc>
        <w:tc>
          <w:tcPr>
            <w:tcW w:w="65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E12DB" w:rsidTr="000A560E">
        <w:trPr>
          <w:gridAfter w:val="2"/>
          <w:wAfter w:w="1128" w:type="pct"/>
        </w:trPr>
        <w:tc>
          <w:tcPr>
            <w:tcW w:w="3872" w:type="pct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DB" w:rsidRDefault="007E12DB" w:rsidP="008C475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Отчет о выполнении</w:t>
            </w:r>
          </w:p>
          <w:p w:rsidR="007E12DB" w:rsidRDefault="007E12DB" w:rsidP="008C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Промежуточные результаты:</w:t>
            </w:r>
          </w:p>
          <w:p w:rsidR="000A560E" w:rsidRPr="00F4709B" w:rsidRDefault="000A560E" w:rsidP="000A560E">
            <w:pPr>
              <w:pStyle w:val="tkTekst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В рамках объединения усилий государственных органов и бизнес-сообщества в сфере противодействия коррупции и реализации положений Меморандума образована диалоговая площадка – Антикоррупционный форум государственных органов и бизнес-сообщества в сфере противодействия коррупции (далее - Форум).</w:t>
            </w:r>
          </w:p>
          <w:p w:rsidR="000A560E" w:rsidRPr="00F4709B" w:rsidRDefault="000A560E" w:rsidP="000A560E">
            <w:pPr>
              <w:pStyle w:val="tkTekst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Форум представляет собой диалоговую площадку по координации совместной деятельности между государственными органами и бизнес-сообществом по выработке и реализации антикоррупционных мер Правительства Кыргызской Республики и бизнес-сообщества.</w:t>
            </w:r>
          </w:p>
          <w:p w:rsidR="000A560E" w:rsidRPr="00F4709B" w:rsidRDefault="000A560E" w:rsidP="000A560E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На сегодняшний день проведено 3 заседания Форума, с участием представителей государственных органов, бизнес-сообщества, гражданского общества, средств массовой информации и международных организаций. На заседаниях были рассмотрены и приняты решения по следующим вопросам:</w:t>
            </w:r>
          </w:p>
          <w:p w:rsidR="000A560E" w:rsidRPr="00F4709B" w:rsidRDefault="000A560E" w:rsidP="000A560E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- необоснованные проверки субъектов предпринимательства со стороны правоохранительных органов;</w:t>
            </w:r>
          </w:p>
          <w:p w:rsidR="000A560E" w:rsidRPr="00F4709B" w:rsidRDefault="000A560E" w:rsidP="000A560E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- проблематичность подключения к системе электроснабжения законченных строительных объектов. По итогам обсуждений были даны ряд рекомендаций и поручений государственным органам;</w:t>
            </w:r>
          </w:p>
          <w:p w:rsidR="000A560E" w:rsidRPr="00F4709B" w:rsidRDefault="000A560E" w:rsidP="000A560E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09B">
              <w:rPr>
                <w:rFonts w:ascii="Times New Roman" w:hAnsi="Times New Roman" w:cs="Times New Roman"/>
                <w:sz w:val="24"/>
                <w:szCs w:val="24"/>
              </w:rPr>
              <w:t>- разработка и внедрение системы «Комплаенс» в государственном и корпоративном управлении.</w:t>
            </w:r>
          </w:p>
          <w:p w:rsidR="007E12DB" w:rsidRPr="00A42CD9" w:rsidRDefault="007E12DB" w:rsidP="00A56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2DB" w:rsidTr="000A560E">
        <w:trPr>
          <w:gridAfter w:val="2"/>
          <w:wAfter w:w="1128" w:type="pct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бизнес-сообществам и общественным организациям при внедрении этических стандартов и добросовестного управления</w:t>
            </w:r>
          </w:p>
        </w:tc>
        <w:tc>
          <w:tcPr>
            <w:tcW w:w="98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Pr="004D0C1D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Содействие бизнес-сообществу в разработке этических стандартов и добросовестного управления;</w:t>
            </w:r>
          </w:p>
          <w:p w:rsidR="007E12DB" w:rsidRPr="004D0C1D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проведение обучения применению корпоративных правил соблюдения добросовестности в бизнесе;</w:t>
            </w:r>
          </w:p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продвижение корпоративных правил (compliance) с надлежащим учетом передовой международной практики и стандартов, в частности Приложения 2 к Рекомендации Совета ОЭСР от 26.11.2009 года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МЭ, ТПП (по согласованию), бизнес-ассоциации (по согласованию)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корпоративных этических стандартов/количество и тематика проведенных обучающих семинаров/внедрение правил и систем комплайенс (compliance)</w:t>
            </w:r>
          </w:p>
        </w:tc>
        <w:tc>
          <w:tcPr>
            <w:tcW w:w="6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 года</w:t>
            </w:r>
          </w:p>
        </w:tc>
      </w:tr>
      <w:tr w:rsidR="007E12DB" w:rsidTr="000A560E">
        <w:trPr>
          <w:gridAfter w:val="2"/>
          <w:wAfter w:w="1128" w:type="pct"/>
        </w:trPr>
        <w:tc>
          <w:tcPr>
            <w:tcW w:w="3872" w:type="pct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DB" w:rsidRDefault="007E12DB" w:rsidP="008C475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Отчет о выполнении</w:t>
            </w:r>
          </w:p>
          <w:p w:rsidR="007E12DB" w:rsidRDefault="007E12DB" w:rsidP="008C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Промежуточные результаты:</w:t>
            </w:r>
          </w:p>
          <w:p w:rsidR="00986300" w:rsidRDefault="007E12DB" w:rsidP="008C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реализации превентивных антикоррупционных мер в сфере предпринимательства, со стороны бизнес-ассоциаций продолжается процесс подписания Хартии «Бизнес Кыргызстана против коррупции», которая направлена на противодействие коррупции и станет вкладом бизнес - сообщества Кыргызстана в общенародную борьбу с коррупционными проявлениями.</w:t>
            </w:r>
            <w:r w:rsidRPr="0058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Подписывая Хартию бизнес-ассоциации, а их сегодня уже более 15-ти субъектов, выражают намерение продвигать среди предпринимателей следующие принципы и правила, способствующие противодействию и предупреждению коррупции.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подписи в Документе поставили руководители таких ведущих бизнес-ассоциаций страны, как Торгово-промышленная палата КР, Международный деловой совет, Ассоциация поставщиков, производителей и дистрибьюторов Кыргызстана, Ассоциация Молодых предпринимателей, Национальный альянс бизнес-ассоциаций,  Союз предпринимателей Кыргызстана, Ассоциаци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экспортеров Кыргызстана и др. </w:t>
            </w:r>
          </w:p>
          <w:p w:rsidR="007E12DB" w:rsidRDefault="00986300" w:rsidP="008C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Антикоррупционного форума государственных органов и бизнес-сообщества (далее - Форум) запущен процесс разработки и внедрения этических стандартов и добросовестного управления в бизнесе. На втором расширенном заседании Форума с участием представителей государственных органов, бизнес-сообщества и институтов гражданского общества в третьем блоке Повестки дня была представлена информация о планируемых тренингах и семинарах, а также проведена презентация по теме «Система корпоративного комплаенса». На сегодняшний день система комплаенс внедрена в ряде крупных компаний.</w:t>
            </w:r>
          </w:p>
        </w:tc>
      </w:tr>
      <w:tr w:rsidR="007E12DB" w:rsidTr="000A560E">
        <w:trPr>
          <w:gridAfter w:val="2"/>
          <w:wAfter w:w="1128" w:type="pct"/>
        </w:trPr>
        <w:tc>
          <w:tcPr>
            <w:tcW w:w="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прозрачность в предоставлении государственных услуг</w:t>
            </w:r>
          </w:p>
        </w:tc>
        <w:tc>
          <w:tcPr>
            <w:tcW w:w="94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Pr="004D0C1D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Внедрение процедур и стандартов предоставления отдельных государственных услуг через интернет;</w:t>
            </w:r>
          </w:p>
          <w:p w:rsidR="007E12DB" w:rsidRPr="004D0C1D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обеспечение доступа к данным государственных органов через интернет;</w:t>
            </w:r>
          </w:p>
          <w:p w:rsidR="007E12DB" w:rsidRPr="004D0C1D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внедрение системы электронного документооборота в целях эффективного взаимодействия государственных органов, ОМСУ и общества;</w:t>
            </w:r>
          </w:p>
          <w:p w:rsidR="007E12DB" w:rsidRPr="004D0C1D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публикация информации о стандартах государственных услуг, стоимости за обучение, о государственных и муниципальных платных услугах и фиксированных тарифах на них;</w:t>
            </w:r>
          </w:p>
          <w:p w:rsidR="007E12DB" w:rsidRPr="004D0C1D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размещение перечней платных услуг в общедоступных местах;</w:t>
            </w:r>
          </w:p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внедрение механизмов ограничения личных контактов должностных лиц и клиентов (в том числе на основе принципов "единого окна"), а также сокращение установленных форм отчетности и санкций</w:t>
            </w:r>
          </w:p>
        </w:tc>
        <w:tc>
          <w:tcPr>
            <w:tcW w:w="4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МЭ, государственные органы, ОМСУ (по согласованию)</w:t>
            </w:r>
          </w:p>
        </w:tc>
        <w:tc>
          <w:tcPr>
            <w:tcW w:w="112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доступность услуг госорганов и ОМСУ для населения, частного сектора и НПО средствами ИКТ; экономия бюджетных средств/количество и виды сокращенных или автоматизированных государственных услуг/публикация перечня платных государственных услуг на местах их предоставления/разработаны процедуры обеспечения онлайновых услуг и повсеместно внедрены принципы единого окна</w:t>
            </w:r>
          </w:p>
        </w:tc>
        <w:tc>
          <w:tcPr>
            <w:tcW w:w="65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 года - постоянно</w:t>
            </w:r>
          </w:p>
        </w:tc>
      </w:tr>
      <w:tr w:rsidR="007E12DB" w:rsidTr="000A560E">
        <w:trPr>
          <w:gridAfter w:val="2"/>
          <w:wAfter w:w="1128" w:type="pct"/>
        </w:trPr>
        <w:tc>
          <w:tcPr>
            <w:tcW w:w="3872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DB" w:rsidRDefault="007E12DB" w:rsidP="008C475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Отчет о выполнении</w:t>
            </w:r>
          </w:p>
          <w:p w:rsidR="007E12DB" w:rsidRDefault="007E12DB" w:rsidP="008C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Промежуточные результаты:</w:t>
            </w:r>
          </w:p>
          <w:p w:rsidR="000A560E" w:rsidRPr="00FF14ED" w:rsidRDefault="000A560E" w:rsidP="000A56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постановление Правительства КР «Об утверждении стандартов государственных услуг, оказываемых физическим и юридическим лицам органами исполнительной власти, их структурными подразделениями и подведомственными учреждениями» от 3 июня 2014 года № 303. </w:t>
            </w:r>
          </w:p>
          <w:p w:rsidR="000A560E" w:rsidRPr="00FF14ED" w:rsidRDefault="000A560E" w:rsidP="000A56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  <w:r w:rsidRPr="00FF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года утверждены 275 стандартов государственных услуг  из 373 услуг, предоставляемых государственными органами  исполнительной власти, в том числе и Министерством экономики КР, включенных в Единый реестр, что составляет 74 %, 36 (10%) стандартов на согласовании с министерствами и ведомствами, 49 (13%) на рассмотрении в Аппарате Правительства КР. </w:t>
            </w:r>
          </w:p>
          <w:p w:rsidR="000A560E" w:rsidRPr="00FF14ED" w:rsidRDefault="000A560E" w:rsidP="000A56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12 государственных услуг, предоставляемых подведомственными организациями  Министерства экономики КР, на 11 утверждены их стандарты постановлением Правительства КР от 22 апреля 2015 года №237 (* разработка стандарта 1 образовательной услуги по законодательству делегирована Министерству образования и науки КР).</w:t>
            </w:r>
          </w:p>
          <w:p w:rsidR="000A560E" w:rsidRPr="00FF14ED" w:rsidRDefault="000A560E" w:rsidP="000A56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12  государственных услуг, предоставляемых подведомственными организациями  Министерства экономики КР на 11 разработаны и утверждены распоряжением Правительства КР  от 20 июня 2016 года № 302-р, административные регламенты (АР), что составляет 3% АР, которые должны быть разработаны на 293 предоставляемые государственными органами услуги (не 273, так как АР разрабатываются каждым органом на предоставляемую услугу) и готовы к рассмотрению на МВК  176 проектов АР услуг.  </w:t>
            </w:r>
          </w:p>
          <w:p w:rsidR="000A560E" w:rsidRPr="00FF14ED" w:rsidRDefault="000A560E" w:rsidP="000A56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улучшения качества предоставляемых государственных услуг и недопущения возможных коррупционных схем, ЦСМ и Кыргызским центром аккредитации проводится определенная работа.</w:t>
            </w:r>
          </w:p>
          <w:p w:rsidR="000A560E" w:rsidRPr="00FF14ED" w:rsidRDefault="000A560E" w:rsidP="000A56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ЦСМ:</w:t>
            </w:r>
          </w:p>
          <w:p w:rsidR="000A560E" w:rsidRPr="00FF14ED" w:rsidRDefault="000A560E" w:rsidP="000A56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разработана программа и внедрен электронный банк данных графиков поверки средств измерений (СИ). С IV квартала 2014 года планируется внедрить электронный формат согласования графиков поверки на 2015 год;</w:t>
            </w:r>
          </w:p>
          <w:p w:rsidR="000A560E" w:rsidRPr="00FF14ED" w:rsidRDefault="000A560E" w:rsidP="000A56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внедрена информационная система «Единого окна» по выдаче сертификатов соответствия на продукцию, подлежащую обязательному подтверждению соответствия;</w:t>
            </w:r>
          </w:p>
          <w:p w:rsidR="000A560E" w:rsidRPr="00FF14ED" w:rsidRDefault="000A560E" w:rsidP="000A56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завершена реконструкция специализированной комнаты приема заявок на все услуги, оказываемые ЦСМ;</w:t>
            </w:r>
          </w:p>
          <w:p w:rsidR="000A560E" w:rsidRPr="00FF14ED" w:rsidRDefault="000A560E" w:rsidP="000A56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предоставляется услуга в электронном формате по признанию результатов испытаний и утверждению типа СИ;</w:t>
            </w:r>
          </w:p>
          <w:p w:rsidR="000A560E" w:rsidRPr="00FF14ED" w:rsidRDefault="000A560E" w:rsidP="000A56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завершен пилотный проект по электронной подаче заявок на услуги оказываемые ЦСМ. </w:t>
            </w:r>
          </w:p>
          <w:p w:rsidR="000A560E" w:rsidRPr="00FF14ED" w:rsidRDefault="000A560E" w:rsidP="000A56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на официальном сайте ЦСМ www.nism.gov.kg размещена форма заявки, комплект документов необходимых для проведения метрологических услуг, а также полная информация по оказанию услуг по метрологии:</w:t>
            </w:r>
          </w:p>
          <w:p w:rsidR="000A560E" w:rsidRPr="00FF14ED" w:rsidRDefault="000A560E" w:rsidP="000A56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типа средств измерений;</w:t>
            </w:r>
          </w:p>
          <w:p w:rsidR="000A560E" w:rsidRPr="00FF14ED" w:rsidRDefault="000A560E" w:rsidP="000A56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признание результатов испытаний средств измерений; </w:t>
            </w:r>
          </w:p>
          <w:p w:rsidR="000A560E" w:rsidRPr="00FF14ED" w:rsidRDefault="000A560E" w:rsidP="000A56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метрологическая аттестация средств измерений;</w:t>
            </w:r>
          </w:p>
          <w:p w:rsidR="000A560E" w:rsidRPr="00FF14ED" w:rsidRDefault="000A560E" w:rsidP="000A56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поверка средств измерений;</w:t>
            </w:r>
          </w:p>
          <w:p w:rsidR="000A560E" w:rsidRPr="00FF14ED" w:rsidRDefault="000A560E" w:rsidP="000A56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калибровка средств измерений и др.</w:t>
            </w:r>
          </w:p>
          <w:p w:rsidR="000A560E" w:rsidRPr="00FF14ED" w:rsidRDefault="000A560E" w:rsidP="000A56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отметить, что данный официальный сайт ЦСМ поддерживает обратную связь с физическими и юридическими лицами в онлайн режиме. В КЦА разработана и действует система менеджмента в виде Руководства по качеству и соответствующих положений, процедур, в которую входят и политика в области качества.</w:t>
            </w:r>
          </w:p>
          <w:p w:rsidR="000A560E" w:rsidRPr="00FF14ED" w:rsidRDefault="000A560E" w:rsidP="000A56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Политика в области качества направлена на: </w:t>
            </w:r>
          </w:p>
          <w:p w:rsidR="000A560E" w:rsidRPr="00FF14ED" w:rsidRDefault="000A560E" w:rsidP="000A56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осуществление работ по аккредитации на основе международных стандартов, руководств и процедур ILAC и IAF и принципов, установленных Законом КР «Об основах технического регулирования», постановлениями Правительства КР от 16.11.2006г. № 795 «Об аккредитации органов по оценке соответствия в КР», от 05.03.2010г. № 128 «О Кыргызском центре аккредитации при Министерстве экономики Кыргызской Республики»;</w:t>
            </w:r>
          </w:p>
          <w:p w:rsidR="000A560E" w:rsidRPr="00FF14ED" w:rsidRDefault="000A560E" w:rsidP="000A56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доступа к услугам по аккредитации всем кандидатам на аккредитацию, независимо от размера заявленной области аккредитации или членства в какой – либо ассоциации или группе; </w:t>
            </w:r>
          </w:p>
          <w:p w:rsidR="000A560E" w:rsidRPr="00FF14ED" w:rsidRDefault="000A560E" w:rsidP="000A56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достижение соответствия требованиям международного стандарта ИСО/МЭК 17011, поддержание своего статуса полноправного члена в части аккредитации испытательных лабораторий по международному стандарту ИСО/МЭК 17025 (подписанта Соглашения о взаимном признании) Международного сотрудничества по аккредитации лабораторий ILAC;</w:t>
            </w:r>
          </w:p>
          <w:p w:rsidR="000A560E" w:rsidRPr="00FF14ED" w:rsidRDefault="000A560E" w:rsidP="000A56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подтверждение своей компетентности в международных организациях по аккредитации ILAC (по остальным направлениям) и IAF и присоединение к Соглашениям о взаимном признании ILAC (по остальным направлениям) и IAF.</w:t>
            </w:r>
          </w:p>
          <w:p w:rsidR="000A560E" w:rsidRPr="00FF14ED" w:rsidRDefault="000A560E" w:rsidP="000A56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политики в области качества осуществляется посредством обучения персонала, создания необходимых условий труда, мотивации специалистов. </w:t>
            </w:r>
          </w:p>
          <w:p w:rsidR="000A560E" w:rsidRPr="00FF14ED" w:rsidRDefault="000A560E" w:rsidP="000A56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КЦА разработаны и функционируют процедуры по системе  управления записями, разработанные для реализации требований международного стандарта ГОСТ ИСО/МЭК 17011:</w:t>
            </w:r>
          </w:p>
          <w:p w:rsidR="000A560E" w:rsidRPr="00FF14ED" w:rsidRDefault="000A560E" w:rsidP="000A56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- Порядок рассмотрения жалоб и апелляций (Положение о рассмотрении жалоб и апелляций и порядке деятельности Комиссии по апелляциям и жалобам); </w:t>
            </w:r>
          </w:p>
          <w:p w:rsidR="000A560E" w:rsidRPr="00FF14ED" w:rsidRDefault="000A560E" w:rsidP="000A56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Оценка удовлетворенности заявителей, которая   направлена на:</w:t>
            </w:r>
          </w:p>
          <w:p w:rsidR="000A560E" w:rsidRPr="00FF14ED" w:rsidRDefault="000A560E" w:rsidP="000A56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- установление обратной связи с кандидатами на аккредитацию и аккредитованными ООС </w:t>
            </w:r>
          </w:p>
          <w:p w:rsidR="000A560E" w:rsidRPr="00FF14ED" w:rsidRDefault="000A560E" w:rsidP="000A56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определение и повышение качества оказываемых услуг в соответствии с установленными требованиями аккредитации.</w:t>
            </w:r>
          </w:p>
          <w:p w:rsidR="000A560E" w:rsidRPr="00FF14ED" w:rsidRDefault="000A560E" w:rsidP="000A56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сбора информации по удовлетворенности клиента проводится путем опроса, проводимого с помощью анкет. Информацию клиент может прислать и анонимно.</w:t>
            </w:r>
          </w:p>
          <w:p w:rsidR="000A560E" w:rsidRPr="00FF14ED" w:rsidRDefault="000A560E" w:rsidP="000A56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КЦА создана онлайн-приемная для:</w:t>
            </w:r>
          </w:p>
          <w:p w:rsidR="000A560E" w:rsidRPr="00FF14ED" w:rsidRDefault="000A560E" w:rsidP="000A56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приема заявок на аккредитацию с комплектом документов при наличии электронной цифровой подписи (ЭЦП), которая является  обязательным реквизитом электронного документа, обеспечивающего  контроль целостности документов и защиту от подделки, их конфиденциальность, а также подтверждающее его авторство;  </w:t>
            </w:r>
          </w:p>
          <w:p w:rsidR="000A560E" w:rsidRPr="00FF14ED" w:rsidRDefault="000A560E" w:rsidP="000A56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обращения потенциальных заявителей по вопросам аккредитации;</w:t>
            </w:r>
          </w:p>
          <w:p w:rsidR="000A560E" w:rsidRPr="00FF14ED" w:rsidRDefault="000A560E" w:rsidP="000A56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обращения кандидатов/аккредитованных органов по оценке соответствия для взаимодействия с ведущими оценщиками, которые ведут работы по аккредитации; </w:t>
            </w:r>
          </w:p>
          <w:p w:rsidR="000A560E" w:rsidRPr="00FF14ED" w:rsidRDefault="000A560E" w:rsidP="000A56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обмена электронными документами между КЦА и заявителями. </w:t>
            </w:r>
          </w:p>
          <w:p w:rsidR="000A560E" w:rsidRPr="00FF14ED" w:rsidRDefault="000A560E" w:rsidP="000A56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на сайте КЦА размещены телефоны «горячей линии» и электронный адрес для жалоб и предложений кандидатов, на аккредитацию/аккредитованных ООС. </w:t>
            </w:r>
          </w:p>
          <w:p w:rsidR="000A560E" w:rsidRPr="00F4709B" w:rsidRDefault="000A560E" w:rsidP="000A56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Назначено ответственное лицо за качественное обслуживание клиентов.</w:t>
            </w:r>
          </w:p>
          <w:p w:rsidR="007E12DB" w:rsidRPr="00597C5F" w:rsidRDefault="007E12DB" w:rsidP="008C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E12DB" w:rsidTr="000A560E">
        <w:tc>
          <w:tcPr>
            <w:tcW w:w="3872" w:type="pct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50A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XII. Мониторинг и оценка реализации антикоррупционных мер</w:t>
            </w:r>
          </w:p>
        </w:tc>
        <w:tc>
          <w:tcPr>
            <w:tcW w:w="555" w:type="pct"/>
          </w:tcPr>
          <w:p w:rsidR="007E12DB" w:rsidRDefault="007E12DB" w:rsidP="008C4756">
            <w:pPr>
              <w:spacing w:after="0" w:line="240" w:lineRule="auto"/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12DB" w:rsidRDefault="007E12DB" w:rsidP="008C4756">
            <w:pPr>
              <w:spacing w:after="0" w:line="240" w:lineRule="auto"/>
            </w:pPr>
          </w:p>
        </w:tc>
      </w:tr>
      <w:tr w:rsidR="007E12DB" w:rsidTr="000A560E">
        <w:trPr>
          <w:gridAfter w:val="2"/>
          <w:wAfter w:w="1128" w:type="pct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процедуры, обеспечивающие вовлечение широкой общественности в разработку и мониторинг реализации антикоррупционных мер путем расширения достоянных форм сотрудничества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Pr="00750AB1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Разработка и внедрение постоянных форм сотрудничества (Антикоррупционный форум, координационный совет при Генпрокуратуре, общественные советы при государственных органах и др.) между гражданским обществом и государственными органами;</w:t>
            </w:r>
          </w:p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внедрение практики проведения общественных консультаций и слушаний, публикации законопроектов с предоставлением возможности подачи комментариев в режиме онлайн</w:t>
            </w:r>
          </w:p>
        </w:tc>
        <w:tc>
          <w:tcPr>
            <w:tcW w:w="54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Генпрокуратура (по согласованию), МЭ, государственные органы, ОМСУ (по согласованию), ОС (по согласованию), НПО (по согласованию)</w:t>
            </w:r>
          </w:p>
        </w:tc>
        <w:tc>
          <w:tcPr>
            <w:tcW w:w="126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Вовлеченность широкой общественности в разработку, реализацию и мониторинг антикоррупционных мер (тематика, формы и достижения); наличие согласованных коммуникационных планов, обратная связь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E12DB" w:rsidTr="000A560E">
        <w:trPr>
          <w:gridAfter w:val="2"/>
          <w:wAfter w:w="1128" w:type="pct"/>
        </w:trPr>
        <w:tc>
          <w:tcPr>
            <w:tcW w:w="3872" w:type="pct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DB" w:rsidRDefault="007E12DB" w:rsidP="008C475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Отчет о выполнении</w:t>
            </w:r>
          </w:p>
          <w:p w:rsidR="007E12DB" w:rsidRDefault="007E12DB" w:rsidP="008C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Промежуточные результаты:</w:t>
            </w:r>
          </w:p>
          <w:p w:rsidR="007E12DB" w:rsidRDefault="007E12DB" w:rsidP="003B2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Министерства экономики создан Антикоррупционный форум </w:t>
            </w:r>
            <w:r w:rsidR="0098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госорганов с бизнес-сообществом. П</w:t>
            </w:r>
            <w:r w:rsidRPr="007D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ервое заседание которого прошло 29 июля 2015 года. 2 октября 2015 года был подписан Меморандум о взаимопонимании и сотрудничестве в сфере противодействия коррупции между государственными органами и бизнес-сообществом. Приказом министерства № 239 от 19.10.2015 го</w:t>
            </w:r>
            <w:r w:rsidR="0098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98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утверждено </w:t>
            </w:r>
            <w:r w:rsidRPr="007D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Антикоррупционном форуме государственных органов и бизнес-сообщества.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Положением на данной площадке будет проводиться заслушивание и обсуждение отчетов как государственных органов так и бизнес-сообщества о ходе исполнения антикоррупционных мер.</w:t>
            </w:r>
            <w:r w:rsidR="0098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ноября 2015 года </w:t>
            </w:r>
            <w:r w:rsidR="00986300" w:rsidRPr="0098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состоялось расширенное заседание Форума, с участием представителей государственных органов, бизнес-сообщества, гражданского общества, средств массовой информации и международных организаций.</w:t>
            </w:r>
            <w:r w:rsidR="00986300">
              <w:t xml:space="preserve"> </w:t>
            </w:r>
            <w:r w:rsidR="00986300" w:rsidRPr="0098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заседания была принята Резолюция, в соответствии с которой ряду государственных органов были даны рекомендации, в части подготовки к следующему заседанию Форума необходимой информации по затронутым вопросам.</w:t>
            </w:r>
            <w:r w:rsidR="003B2F3F">
              <w:t xml:space="preserve">   </w:t>
            </w:r>
            <w:r w:rsidR="003B2F3F" w:rsidRPr="003B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</w:t>
            </w:r>
            <w:r w:rsidR="003B2F3F">
              <w:t xml:space="preserve"> в</w:t>
            </w:r>
            <w:r w:rsidR="003B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овлечения</w:t>
            </w:r>
            <w:r w:rsidR="003B2F3F" w:rsidRPr="003B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широкой общественности в реализацию и мониторинг антикоррупционных мер</w:t>
            </w:r>
            <w:r w:rsidR="003B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министерством 12 октября 2016 года проведено широкое обсуждение Сводного отчета по итогам 1-го полугодия 2016 года с представителями гражданского общества, общественных советов и средств массовой информации.</w:t>
            </w:r>
          </w:p>
        </w:tc>
      </w:tr>
      <w:tr w:rsidR="007E12DB" w:rsidTr="000A560E">
        <w:trPr>
          <w:gridAfter w:val="2"/>
          <w:wAfter w:w="1128" w:type="pct"/>
        </w:trPr>
        <w:tc>
          <w:tcPr>
            <w:tcW w:w="1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Внедрить систему регулярного мониторинга и оценки реализации Государственной стратегии антикоррупционной политики с привлечением институтов гражданского общества и донорских организаций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Pr="00750AB1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Внедрение практики осуществления регулярного мониторинга реализации антикоррупционных мер на государственном и ведомственном уровне;</w:t>
            </w:r>
          </w:p>
          <w:p w:rsidR="007E12DB" w:rsidRPr="00750AB1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разработка механизмов мониторинга и оценки реализации государственными органами антикоррупционной политики (планов) представителями институтов гражданского общества;</w:t>
            </w:r>
          </w:p>
          <w:p w:rsidR="007E12DB" w:rsidRPr="00750AB1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критериев и показателей эффективности реализации мер антикоррупционного мониторинга;</w:t>
            </w:r>
          </w:p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внедрение механизмов и критериев, направленных на оценку эффективности реализуемых мер и достижению поставленных индикаторов через систему верификации и валидации</w:t>
            </w:r>
          </w:p>
        </w:tc>
        <w:tc>
          <w:tcPr>
            <w:tcW w:w="544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МЭ, Генпрокуратура (по согласованию), государственные органы, ОМСУ (по согласованию), ОС (по согласованию), НПО (по согласованию)</w:t>
            </w:r>
          </w:p>
        </w:tc>
        <w:tc>
          <w:tcPr>
            <w:tcW w:w="126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широкое обнародование отчетов о реализации положений Государственной стратегии антикоррупционной политики в цепом и планов действий по ее реализации в частности, включая альтернативные отчеты подготовленные со стороны ИГО, ОС, МО и гражданского и экспертного сообщества; функционирование национальной комплексной системы механизмов противодействия коррупции; наличие действенной системы оценки реализации госорганами антикоррупционных мер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DB" w:rsidRDefault="007E12DB" w:rsidP="008C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календарными планами в течение 2015-2017 годов</w:t>
            </w:r>
          </w:p>
        </w:tc>
      </w:tr>
      <w:tr w:rsidR="007E12DB" w:rsidTr="000A560E">
        <w:trPr>
          <w:gridAfter w:val="2"/>
          <w:wAfter w:w="1128" w:type="pct"/>
        </w:trPr>
        <w:tc>
          <w:tcPr>
            <w:tcW w:w="3872" w:type="pct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2DB" w:rsidRDefault="007E12DB" w:rsidP="008C475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Отчет о выполнении</w:t>
            </w:r>
          </w:p>
          <w:p w:rsidR="007E12DB" w:rsidRDefault="007E12DB" w:rsidP="008C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Промежуточные результаты:</w:t>
            </w:r>
          </w:p>
          <w:p w:rsidR="007E12DB" w:rsidRDefault="007E12DB" w:rsidP="008C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D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целях регламентации процедуры проведения оценки и верификации предоставляемых государственными органами форм отчетности об исполнении Программы по переходу Кыргызской Республики к устойчивому развитию на 2013-2017 годы и 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2015-2017 годы разработан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утверждено распоряжение</w:t>
            </w:r>
            <w:r w:rsidRPr="005D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Кыргызской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дополнений и изменений в распоряжение Правительства Кыргызской Республики от 12 февраля 2014 года № 44-р»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настоящее время созданы рабочие группы и начат процесс верификации</w:t>
            </w:r>
            <w:r>
              <w:t xml:space="preserve"> </w:t>
            </w:r>
            <w:r w:rsidRPr="007D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предоставляемых государственными органами форм отчетности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E12DB" w:rsidRDefault="007E12DB" w:rsidP="007E12DB">
      <w:pPr>
        <w:spacing w:after="0" w:line="240" w:lineRule="auto"/>
      </w:pPr>
    </w:p>
    <w:p w:rsidR="007E12DB" w:rsidRDefault="007E12DB" w:rsidP="007E12DB"/>
    <w:p w:rsidR="003B178E" w:rsidRDefault="009508DF"/>
    <w:sectPr w:rsidR="003B178E" w:rsidSect="002B72BE">
      <w:foot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927" w:rsidRDefault="002C2927">
      <w:pPr>
        <w:spacing w:after="0" w:line="240" w:lineRule="auto"/>
      </w:pPr>
      <w:r>
        <w:separator/>
      </w:r>
    </w:p>
  </w:endnote>
  <w:endnote w:type="continuationSeparator" w:id="0">
    <w:p w:rsidR="002C2927" w:rsidRDefault="002C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579848"/>
      <w:docPartObj>
        <w:docPartGallery w:val="Page Numbers (Bottom of Page)"/>
        <w:docPartUnique/>
      </w:docPartObj>
    </w:sdtPr>
    <w:sdtEndPr/>
    <w:sdtContent>
      <w:p w:rsidR="002B72BE" w:rsidRDefault="005B6CB1" w:rsidP="002B72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8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72BE" w:rsidRDefault="009508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927" w:rsidRDefault="002C2927">
      <w:pPr>
        <w:spacing w:after="0" w:line="240" w:lineRule="auto"/>
      </w:pPr>
      <w:r>
        <w:separator/>
      </w:r>
    </w:p>
  </w:footnote>
  <w:footnote w:type="continuationSeparator" w:id="0">
    <w:p w:rsidR="002C2927" w:rsidRDefault="002C2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CF3"/>
    <w:multiLevelType w:val="hybridMultilevel"/>
    <w:tmpl w:val="CBC28F64"/>
    <w:lvl w:ilvl="0" w:tplc="793EA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A4A1A"/>
    <w:multiLevelType w:val="hybridMultilevel"/>
    <w:tmpl w:val="19AE90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DB"/>
    <w:rsid w:val="00062176"/>
    <w:rsid w:val="000A560E"/>
    <w:rsid w:val="00145C1D"/>
    <w:rsid w:val="001D46C5"/>
    <w:rsid w:val="002406E6"/>
    <w:rsid w:val="00272B56"/>
    <w:rsid w:val="00295102"/>
    <w:rsid w:val="002C2927"/>
    <w:rsid w:val="00325091"/>
    <w:rsid w:val="003B2F3F"/>
    <w:rsid w:val="004015D0"/>
    <w:rsid w:val="00592A12"/>
    <w:rsid w:val="005B6CB1"/>
    <w:rsid w:val="005C7847"/>
    <w:rsid w:val="006063CA"/>
    <w:rsid w:val="006C5160"/>
    <w:rsid w:val="006F23B6"/>
    <w:rsid w:val="0072697E"/>
    <w:rsid w:val="0078317D"/>
    <w:rsid w:val="007E12DB"/>
    <w:rsid w:val="0085606A"/>
    <w:rsid w:val="008E33D6"/>
    <w:rsid w:val="00946C55"/>
    <w:rsid w:val="009508DF"/>
    <w:rsid w:val="00951805"/>
    <w:rsid w:val="00961CF2"/>
    <w:rsid w:val="00986300"/>
    <w:rsid w:val="009918B5"/>
    <w:rsid w:val="009A70B7"/>
    <w:rsid w:val="009C1FC4"/>
    <w:rsid w:val="009D5F94"/>
    <w:rsid w:val="00A42228"/>
    <w:rsid w:val="00A565B9"/>
    <w:rsid w:val="00B666E1"/>
    <w:rsid w:val="00C018B7"/>
    <w:rsid w:val="00C41955"/>
    <w:rsid w:val="00E4611D"/>
    <w:rsid w:val="00F4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7E12DB"/>
  </w:style>
  <w:style w:type="paragraph" w:styleId="a4">
    <w:name w:val="footer"/>
    <w:basedOn w:val="a"/>
    <w:link w:val="a3"/>
    <w:uiPriority w:val="99"/>
    <w:unhideWhenUsed/>
    <w:rsid w:val="007E1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7E12DB"/>
  </w:style>
  <w:style w:type="paragraph" w:styleId="a5">
    <w:name w:val="No Spacing"/>
    <w:uiPriority w:val="1"/>
    <w:qFormat/>
    <w:rsid w:val="007E12D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269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6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CF2"/>
    <w:rPr>
      <w:rFonts w:ascii="Tahoma" w:hAnsi="Tahoma" w:cs="Tahoma"/>
      <w:sz w:val="16"/>
      <w:szCs w:val="16"/>
    </w:rPr>
  </w:style>
  <w:style w:type="paragraph" w:customStyle="1" w:styleId="tkTekst">
    <w:name w:val="_Текст обычный (tkTekst)"/>
    <w:basedOn w:val="a"/>
    <w:rsid w:val="004015D0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951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7E12DB"/>
  </w:style>
  <w:style w:type="paragraph" w:styleId="a4">
    <w:name w:val="footer"/>
    <w:basedOn w:val="a"/>
    <w:link w:val="a3"/>
    <w:uiPriority w:val="99"/>
    <w:unhideWhenUsed/>
    <w:rsid w:val="007E1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7E12DB"/>
  </w:style>
  <w:style w:type="paragraph" w:styleId="a5">
    <w:name w:val="No Spacing"/>
    <w:uiPriority w:val="1"/>
    <w:qFormat/>
    <w:rsid w:val="007E12D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269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6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CF2"/>
    <w:rPr>
      <w:rFonts w:ascii="Tahoma" w:hAnsi="Tahoma" w:cs="Tahoma"/>
      <w:sz w:val="16"/>
      <w:szCs w:val="16"/>
    </w:rPr>
  </w:style>
  <w:style w:type="paragraph" w:customStyle="1" w:styleId="tkTekst">
    <w:name w:val="_Текст обычный (tkTekst)"/>
    <w:basedOn w:val="a"/>
    <w:rsid w:val="004015D0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951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4094</Words>
  <Characters>23341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Талайкуль М. Шадыканова</dc:creator>
  <cp:lastModifiedBy>user</cp:lastModifiedBy>
  <cp:revision>2</cp:revision>
  <cp:lastPrinted>2016-10-17T05:39:00Z</cp:lastPrinted>
  <dcterms:created xsi:type="dcterms:W3CDTF">2018-10-15T14:14:00Z</dcterms:created>
  <dcterms:modified xsi:type="dcterms:W3CDTF">2018-10-15T14:14:00Z</dcterms:modified>
</cp:coreProperties>
</file>