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A8" w:rsidRPr="0035566D" w:rsidRDefault="006971A8" w:rsidP="006971A8">
      <w:pPr>
        <w:jc w:val="center"/>
        <w:rPr>
          <w:b/>
        </w:rPr>
      </w:pPr>
      <w:r>
        <w:rPr>
          <w:b/>
        </w:rPr>
        <w:t>Данные по поступлениям</w:t>
      </w:r>
      <w:r w:rsidRPr="0035566D">
        <w:rPr>
          <w:b/>
        </w:rPr>
        <w:t xml:space="preserve"> п</w:t>
      </w:r>
      <w:r>
        <w:rPr>
          <w:b/>
        </w:rPr>
        <w:t xml:space="preserve">рямых иностранных инвестиций за </w:t>
      </w:r>
      <w:r w:rsidR="004F6126">
        <w:rPr>
          <w:b/>
        </w:rPr>
        <w:t>2018 год</w:t>
      </w:r>
      <w:r w:rsidRPr="0035566D">
        <w:rPr>
          <w:b/>
        </w:rPr>
        <w:t>.</w:t>
      </w:r>
    </w:p>
    <w:p w:rsidR="006971A8" w:rsidRDefault="006971A8" w:rsidP="006971A8">
      <w:pPr>
        <w:ind w:firstLine="567"/>
        <w:rPr>
          <w:b/>
          <w:u w:val="single"/>
        </w:rPr>
      </w:pPr>
    </w:p>
    <w:p w:rsidR="006971A8" w:rsidRDefault="006971A8" w:rsidP="006971A8">
      <w:pPr>
        <w:ind w:firstLine="567"/>
        <w:rPr>
          <w:b/>
          <w:u w:val="single"/>
        </w:rPr>
      </w:pPr>
      <w:r w:rsidRPr="0035566D">
        <w:rPr>
          <w:b/>
          <w:u w:val="single"/>
        </w:rPr>
        <w:t>Общий обзор:</w:t>
      </w:r>
    </w:p>
    <w:p w:rsidR="00C06F62" w:rsidRPr="0035566D" w:rsidRDefault="00C06F62" w:rsidP="006971A8">
      <w:pPr>
        <w:ind w:firstLine="567"/>
        <w:rPr>
          <w:b/>
          <w:u w:val="single"/>
        </w:rPr>
      </w:pPr>
    </w:p>
    <w:p w:rsidR="00176A1B" w:rsidRPr="00176A1B" w:rsidRDefault="00176A1B" w:rsidP="00176A1B">
      <w:pPr>
        <w:pStyle w:val="a8"/>
        <w:ind w:firstLine="567"/>
        <w:rPr>
          <w:sz w:val="24"/>
          <w:szCs w:val="24"/>
        </w:rPr>
      </w:pPr>
      <w:r w:rsidRPr="00176A1B">
        <w:rPr>
          <w:sz w:val="24"/>
          <w:szCs w:val="24"/>
        </w:rPr>
        <w:t xml:space="preserve">По уточненным данным предприятий, представленным на основании годовых бухгалтерских балансов, </w:t>
      </w:r>
      <w:r w:rsidRPr="00176A1B">
        <w:rPr>
          <w:b/>
          <w:sz w:val="24"/>
          <w:szCs w:val="24"/>
        </w:rPr>
        <w:t xml:space="preserve">приток прямых иностранных инвестиций </w:t>
      </w:r>
      <w:r w:rsidRPr="00176A1B">
        <w:rPr>
          <w:sz w:val="24"/>
          <w:szCs w:val="24"/>
        </w:rPr>
        <w:t>(здесь и далее по тексту – без учета оттока)</w:t>
      </w:r>
      <w:r w:rsidRPr="00176A1B">
        <w:rPr>
          <w:b/>
          <w:sz w:val="24"/>
          <w:szCs w:val="24"/>
        </w:rPr>
        <w:t xml:space="preserve"> </w:t>
      </w:r>
      <w:r w:rsidRPr="00176A1B">
        <w:rPr>
          <w:sz w:val="24"/>
          <w:szCs w:val="24"/>
        </w:rPr>
        <w:t xml:space="preserve">в 2018г. составил 851,7 млн. долларов США и в сравнении с 2017г. </w:t>
      </w:r>
      <w:r w:rsidRPr="00176A1B">
        <w:rPr>
          <w:b/>
          <w:sz w:val="24"/>
          <w:szCs w:val="24"/>
        </w:rPr>
        <w:t>увеличился на 38,1 процента</w:t>
      </w:r>
      <w:r w:rsidRPr="00176A1B">
        <w:rPr>
          <w:sz w:val="24"/>
          <w:szCs w:val="24"/>
        </w:rPr>
        <w:t>. При этом</w:t>
      </w:r>
      <w:proofErr w:type="gramStart"/>
      <w:r w:rsidRPr="00176A1B">
        <w:rPr>
          <w:sz w:val="24"/>
          <w:szCs w:val="24"/>
        </w:rPr>
        <w:t>,</w:t>
      </w:r>
      <w:proofErr w:type="gramEnd"/>
      <w:r w:rsidRPr="00176A1B">
        <w:rPr>
          <w:sz w:val="24"/>
          <w:szCs w:val="24"/>
        </w:rPr>
        <w:t xml:space="preserve"> приток превысил уровень оттока на 144,2 млн. долларов. </w:t>
      </w:r>
    </w:p>
    <w:p w:rsidR="00176A1B" w:rsidRDefault="00176A1B" w:rsidP="00176A1B">
      <w:pPr>
        <w:ind w:firstLine="567"/>
        <w:jc w:val="right"/>
      </w:pPr>
    </w:p>
    <w:p w:rsidR="005F5144" w:rsidRPr="00176A1B" w:rsidRDefault="00176A1B" w:rsidP="00176A1B">
      <w:pPr>
        <w:ind w:firstLine="567"/>
        <w:jc w:val="right"/>
        <w:rPr>
          <w:b/>
        </w:rPr>
      </w:pPr>
      <w:r w:rsidRPr="00176A1B">
        <w:rPr>
          <w:b/>
        </w:rPr>
        <w:t>Таблица 1</w:t>
      </w:r>
    </w:p>
    <w:p w:rsidR="00176A1B" w:rsidRDefault="00176A1B" w:rsidP="00176A1B">
      <w:pPr>
        <w:ind w:firstLine="567"/>
        <w:jc w:val="center"/>
        <w:rPr>
          <w:b/>
        </w:rPr>
      </w:pPr>
      <w:r w:rsidRPr="00176A1B">
        <w:rPr>
          <w:b/>
        </w:rPr>
        <w:t>Поступление ПИИ за 2014-2018 гг.</w:t>
      </w:r>
    </w:p>
    <w:p w:rsidR="00176A1B" w:rsidRPr="00176A1B" w:rsidRDefault="00176A1B" w:rsidP="00176A1B">
      <w:pPr>
        <w:ind w:firstLine="567"/>
        <w:jc w:val="center"/>
        <w:rPr>
          <w:b/>
        </w:rPr>
      </w:pPr>
    </w:p>
    <w:tbl>
      <w:tblPr>
        <w:tblStyle w:val="a7"/>
        <w:tblW w:w="9434" w:type="dxa"/>
        <w:tblLook w:val="04A0" w:firstRow="1" w:lastRow="0" w:firstColumn="1" w:lastColumn="0" w:noHBand="0" w:noVBand="1"/>
      </w:tblPr>
      <w:tblGrid>
        <w:gridCol w:w="1809"/>
        <w:gridCol w:w="1525"/>
        <w:gridCol w:w="1525"/>
        <w:gridCol w:w="1525"/>
        <w:gridCol w:w="1525"/>
        <w:gridCol w:w="1525"/>
      </w:tblGrid>
      <w:tr w:rsidR="00D80138" w:rsidRPr="005D5424" w:rsidTr="008132A0">
        <w:trPr>
          <w:trHeight w:val="315"/>
        </w:trPr>
        <w:tc>
          <w:tcPr>
            <w:tcW w:w="1809" w:type="dxa"/>
            <w:noWrap/>
            <w:vAlign w:val="center"/>
            <w:hideMark/>
          </w:tcPr>
          <w:p w:rsidR="00D80138" w:rsidRPr="00D80138" w:rsidRDefault="00D80138" w:rsidP="008132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25" w:type="dxa"/>
          </w:tcPr>
          <w:p w:rsidR="00D80138" w:rsidRPr="005D5424" w:rsidRDefault="00D80138" w:rsidP="008132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D5424">
              <w:rPr>
                <w:rFonts w:ascii="Times New Roman" w:hAnsi="Times New Roman"/>
                <w:b/>
                <w:bCs/>
                <w:sz w:val="24"/>
              </w:rPr>
              <w:t>2014</w:t>
            </w:r>
            <w:r w:rsidR="00254502">
              <w:rPr>
                <w:rFonts w:ascii="Times New Roman" w:hAnsi="Times New Roman"/>
                <w:b/>
                <w:bCs/>
                <w:sz w:val="24"/>
              </w:rPr>
              <w:t>г.</w:t>
            </w:r>
          </w:p>
        </w:tc>
        <w:tc>
          <w:tcPr>
            <w:tcW w:w="1525" w:type="dxa"/>
          </w:tcPr>
          <w:p w:rsidR="00D80138" w:rsidRPr="005D5424" w:rsidRDefault="00D80138" w:rsidP="008132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D5424">
              <w:rPr>
                <w:rFonts w:ascii="Times New Roman" w:hAnsi="Times New Roman"/>
                <w:b/>
                <w:bCs/>
                <w:sz w:val="24"/>
              </w:rPr>
              <w:t>2015</w:t>
            </w:r>
            <w:r w:rsidR="00254502">
              <w:rPr>
                <w:rFonts w:ascii="Times New Roman" w:hAnsi="Times New Roman"/>
                <w:b/>
                <w:bCs/>
                <w:sz w:val="24"/>
              </w:rPr>
              <w:t>г.</w:t>
            </w:r>
          </w:p>
        </w:tc>
        <w:tc>
          <w:tcPr>
            <w:tcW w:w="1525" w:type="dxa"/>
          </w:tcPr>
          <w:p w:rsidR="00D80138" w:rsidRPr="005D5424" w:rsidRDefault="00D80138" w:rsidP="008132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2016</w:t>
            </w:r>
            <w:r w:rsidR="00254502">
              <w:rPr>
                <w:rFonts w:ascii="Times New Roman" w:hAnsi="Times New Roman"/>
                <w:b/>
                <w:bCs/>
                <w:sz w:val="24"/>
              </w:rPr>
              <w:t>г.</w:t>
            </w:r>
          </w:p>
        </w:tc>
        <w:tc>
          <w:tcPr>
            <w:tcW w:w="1525" w:type="dxa"/>
          </w:tcPr>
          <w:p w:rsidR="00D80138" w:rsidRPr="005D5424" w:rsidRDefault="00D80138" w:rsidP="008132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2017</w:t>
            </w:r>
            <w:r w:rsidR="00254502">
              <w:rPr>
                <w:rFonts w:ascii="Times New Roman" w:hAnsi="Times New Roman"/>
                <w:b/>
                <w:bCs/>
                <w:sz w:val="24"/>
              </w:rPr>
              <w:t>г.</w:t>
            </w:r>
          </w:p>
        </w:tc>
        <w:tc>
          <w:tcPr>
            <w:tcW w:w="1525" w:type="dxa"/>
          </w:tcPr>
          <w:p w:rsidR="00D80138" w:rsidRPr="005D5424" w:rsidRDefault="00D80138" w:rsidP="0025450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2018</w:t>
            </w:r>
            <w:r w:rsidR="00254502">
              <w:rPr>
                <w:rFonts w:ascii="Times New Roman" w:hAnsi="Times New Roman"/>
                <w:b/>
                <w:bCs/>
                <w:sz w:val="24"/>
              </w:rPr>
              <w:t>г.</w:t>
            </w:r>
          </w:p>
        </w:tc>
      </w:tr>
      <w:tr w:rsidR="00D80138" w:rsidRPr="005D5424" w:rsidTr="008132A0">
        <w:trPr>
          <w:trHeight w:val="315"/>
        </w:trPr>
        <w:tc>
          <w:tcPr>
            <w:tcW w:w="1809" w:type="dxa"/>
            <w:noWrap/>
            <w:vAlign w:val="center"/>
            <w:hideMark/>
          </w:tcPr>
          <w:p w:rsidR="00D80138" w:rsidRPr="00D80138" w:rsidRDefault="00D80138" w:rsidP="008132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0138">
              <w:rPr>
                <w:rFonts w:ascii="Times New Roman" w:hAnsi="Times New Roman"/>
                <w:b/>
                <w:bCs/>
                <w:sz w:val="24"/>
              </w:rPr>
              <w:t>Всего П</w:t>
            </w:r>
            <w:r>
              <w:rPr>
                <w:rFonts w:ascii="Times New Roman" w:hAnsi="Times New Roman"/>
                <w:b/>
                <w:bCs/>
                <w:sz w:val="24"/>
              </w:rPr>
              <w:t>ИИ</w:t>
            </w:r>
          </w:p>
        </w:tc>
        <w:tc>
          <w:tcPr>
            <w:tcW w:w="1525" w:type="dxa"/>
          </w:tcPr>
          <w:p w:rsidR="00D80138" w:rsidRPr="005D5424" w:rsidRDefault="00D80138" w:rsidP="008132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D5424">
              <w:rPr>
                <w:rFonts w:ascii="Times New Roman" w:hAnsi="Times New Roman"/>
                <w:b/>
                <w:bCs/>
                <w:sz w:val="24"/>
              </w:rPr>
              <w:t>727091,2</w:t>
            </w:r>
          </w:p>
        </w:tc>
        <w:tc>
          <w:tcPr>
            <w:tcW w:w="1525" w:type="dxa"/>
          </w:tcPr>
          <w:p w:rsidR="00D80138" w:rsidRDefault="00D80138" w:rsidP="008132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1573243,7</w:t>
            </w:r>
          </w:p>
        </w:tc>
        <w:tc>
          <w:tcPr>
            <w:tcW w:w="1525" w:type="dxa"/>
          </w:tcPr>
          <w:p w:rsidR="00D80138" w:rsidRDefault="00D80138" w:rsidP="008132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813960,7</w:t>
            </w:r>
          </w:p>
        </w:tc>
        <w:tc>
          <w:tcPr>
            <w:tcW w:w="1525" w:type="dxa"/>
          </w:tcPr>
          <w:p w:rsidR="00D80138" w:rsidRDefault="00D80138" w:rsidP="008132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7EAA">
              <w:rPr>
                <w:rFonts w:ascii="Times New Roman" w:hAnsi="Times New Roman"/>
                <w:b/>
                <w:bCs/>
                <w:sz w:val="24"/>
                <w:szCs w:val="28"/>
              </w:rPr>
              <w:t>616 793,1</w:t>
            </w:r>
          </w:p>
        </w:tc>
        <w:tc>
          <w:tcPr>
            <w:tcW w:w="1525" w:type="dxa"/>
          </w:tcPr>
          <w:p w:rsidR="00D80138" w:rsidRDefault="005F5144" w:rsidP="008132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F5144">
              <w:rPr>
                <w:rFonts w:ascii="Times New Roman" w:hAnsi="Times New Roman"/>
                <w:b/>
                <w:bCs/>
                <w:sz w:val="24"/>
                <w:szCs w:val="28"/>
              </w:rPr>
              <w:t>851 743,6</w:t>
            </w:r>
          </w:p>
        </w:tc>
      </w:tr>
      <w:tr w:rsidR="00D80138" w:rsidRPr="005D5424" w:rsidTr="008132A0">
        <w:trPr>
          <w:trHeight w:val="315"/>
        </w:trPr>
        <w:tc>
          <w:tcPr>
            <w:tcW w:w="1809" w:type="dxa"/>
            <w:noWrap/>
            <w:vAlign w:val="center"/>
            <w:hideMark/>
          </w:tcPr>
          <w:p w:rsidR="00D80138" w:rsidRPr="005D5424" w:rsidRDefault="00D80138" w:rsidP="008132A0">
            <w:pPr>
              <w:jc w:val="center"/>
              <w:rPr>
                <w:rFonts w:ascii="Times New Roman" w:hAnsi="Times New Roman"/>
                <w:bCs/>
                <w:sz w:val="24"/>
                <w:lang w:val="ky-KG"/>
              </w:rPr>
            </w:pPr>
            <w:r w:rsidRPr="005D5424">
              <w:rPr>
                <w:rFonts w:ascii="Times New Roman" w:hAnsi="Times New Roman"/>
                <w:bCs/>
                <w:sz w:val="24"/>
                <w:lang w:val="ky-KG"/>
              </w:rPr>
              <w:t>Темп роста, %</w:t>
            </w:r>
          </w:p>
        </w:tc>
        <w:tc>
          <w:tcPr>
            <w:tcW w:w="1525" w:type="dxa"/>
          </w:tcPr>
          <w:p w:rsidR="00D80138" w:rsidRPr="00687E47" w:rsidRDefault="00D80138" w:rsidP="008132A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87E47">
              <w:rPr>
                <w:rFonts w:ascii="Times New Roman" w:hAnsi="Times New Roman"/>
                <w:bCs/>
                <w:sz w:val="24"/>
              </w:rPr>
              <w:t>75,4</w:t>
            </w:r>
          </w:p>
        </w:tc>
        <w:tc>
          <w:tcPr>
            <w:tcW w:w="1525" w:type="dxa"/>
          </w:tcPr>
          <w:p w:rsidR="00D80138" w:rsidRPr="00687E47" w:rsidRDefault="00D80138" w:rsidP="008132A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87E47">
              <w:rPr>
                <w:rFonts w:ascii="Times New Roman" w:hAnsi="Times New Roman"/>
                <w:bCs/>
                <w:sz w:val="24"/>
              </w:rPr>
              <w:t>216,4</w:t>
            </w:r>
          </w:p>
        </w:tc>
        <w:tc>
          <w:tcPr>
            <w:tcW w:w="1525" w:type="dxa"/>
          </w:tcPr>
          <w:p w:rsidR="00D80138" w:rsidRPr="00687E47" w:rsidRDefault="002056EC" w:rsidP="008132A0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87E47">
              <w:rPr>
                <w:rFonts w:ascii="Times New Roman" w:hAnsi="Times New Roman"/>
                <w:bCs/>
                <w:sz w:val="24"/>
                <w:szCs w:val="28"/>
              </w:rPr>
              <w:t>51,7</w:t>
            </w:r>
          </w:p>
        </w:tc>
        <w:tc>
          <w:tcPr>
            <w:tcW w:w="1525" w:type="dxa"/>
          </w:tcPr>
          <w:p w:rsidR="00D80138" w:rsidRPr="00687E47" w:rsidRDefault="00D80138" w:rsidP="008132A0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87E47">
              <w:rPr>
                <w:rFonts w:ascii="Times New Roman" w:hAnsi="Times New Roman"/>
                <w:bCs/>
                <w:sz w:val="24"/>
                <w:szCs w:val="28"/>
              </w:rPr>
              <w:t>75,8</w:t>
            </w:r>
          </w:p>
        </w:tc>
        <w:tc>
          <w:tcPr>
            <w:tcW w:w="1525" w:type="dxa"/>
          </w:tcPr>
          <w:p w:rsidR="00D80138" w:rsidRPr="00687E47" w:rsidRDefault="005F5144" w:rsidP="008132A0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87E47">
              <w:rPr>
                <w:rFonts w:ascii="Times New Roman" w:hAnsi="Times New Roman"/>
                <w:bCs/>
                <w:sz w:val="24"/>
                <w:szCs w:val="28"/>
              </w:rPr>
              <w:t>138,1</w:t>
            </w:r>
          </w:p>
        </w:tc>
      </w:tr>
    </w:tbl>
    <w:p w:rsidR="00176A1B" w:rsidRDefault="00176A1B" w:rsidP="00176A1B">
      <w:pPr>
        <w:ind w:firstLine="708"/>
        <w:jc w:val="both"/>
        <w:rPr>
          <w:lang w:val="en-US"/>
        </w:rPr>
      </w:pPr>
    </w:p>
    <w:p w:rsidR="00176A1B" w:rsidRDefault="00176A1B" w:rsidP="00176A1B">
      <w:pPr>
        <w:ind w:firstLine="708"/>
        <w:jc w:val="both"/>
      </w:pPr>
      <w:r>
        <w:t>ПИИ в разрезе регионов за 2018 года Кыргызской республики показывает, что наибольший приток ПИИ приходится на город Бишкек 43.1 % (</w:t>
      </w:r>
      <w:r w:rsidRPr="00084292">
        <w:t>366 946,0</w:t>
      </w:r>
      <w:r>
        <w:t xml:space="preserve">). Следующим регионом по притоку ПИИ является Чуйская область </w:t>
      </w:r>
      <w:r w:rsidRPr="005A3B15">
        <w:t>29,</w:t>
      </w:r>
      <w:r>
        <w:t>3 % (</w:t>
      </w:r>
      <w:r w:rsidRPr="00084292">
        <w:t>249 314,3</w:t>
      </w:r>
      <w:r>
        <w:t xml:space="preserve">). </w:t>
      </w:r>
    </w:p>
    <w:p w:rsidR="00176A1B" w:rsidRDefault="00176A1B" w:rsidP="00176A1B">
      <w:pPr>
        <w:pStyle w:val="a4"/>
        <w:keepNext/>
        <w:ind w:left="360"/>
        <w:jc w:val="right"/>
        <w:rPr>
          <w:caps w:val="0"/>
          <w:sz w:val="24"/>
        </w:rPr>
      </w:pPr>
      <w:r>
        <w:rPr>
          <w:caps w:val="0"/>
          <w:sz w:val="24"/>
        </w:rPr>
        <w:t>График 1</w:t>
      </w:r>
    </w:p>
    <w:p w:rsidR="00176A1B" w:rsidRPr="003B1960" w:rsidRDefault="00176A1B" w:rsidP="00176A1B">
      <w:pPr>
        <w:pStyle w:val="a4"/>
        <w:keepNext/>
        <w:ind w:left="360"/>
        <w:jc w:val="center"/>
        <w:rPr>
          <w:sz w:val="24"/>
        </w:rPr>
      </w:pPr>
      <w:r>
        <w:rPr>
          <w:caps w:val="0"/>
          <w:sz w:val="24"/>
        </w:rPr>
        <w:t>П</w:t>
      </w:r>
      <w:r w:rsidRPr="00514016">
        <w:rPr>
          <w:caps w:val="0"/>
          <w:sz w:val="24"/>
        </w:rPr>
        <w:t xml:space="preserve">оступление </w:t>
      </w:r>
      <w:r>
        <w:rPr>
          <w:caps w:val="0"/>
          <w:sz w:val="24"/>
        </w:rPr>
        <w:t>ПИИ</w:t>
      </w:r>
      <w:r w:rsidRPr="00514016">
        <w:rPr>
          <w:caps w:val="0"/>
          <w:sz w:val="24"/>
        </w:rPr>
        <w:t xml:space="preserve"> за 2011-201</w:t>
      </w:r>
      <w:r>
        <w:rPr>
          <w:caps w:val="0"/>
          <w:sz w:val="24"/>
        </w:rPr>
        <w:t xml:space="preserve">8 </w:t>
      </w:r>
      <w:r w:rsidRPr="00514016">
        <w:rPr>
          <w:caps w:val="0"/>
          <w:sz w:val="24"/>
        </w:rPr>
        <w:t xml:space="preserve">гг. </w:t>
      </w:r>
      <w:r w:rsidRPr="00514016">
        <w:rPr>
          <w:sz w:val="24"/>
        </w:rPr>
        <w:t>(</w:t>
      </w:r>
      <w:r>
        <w:rPr>
          <w:caps w:val="0"/>
          <w:sz w:val="24"/>
        </w:rPr>
        <w:t>тыс. долл.</w:t>
      </w:r>
      <w:r w:rsidRPr="00514016">
        <w:rPr>
          <w:caps w:val="0"/>
          <w:sz w:val="24"/>
        </w:rPr>
        <w:t xml:space="preserve"> </w:t>
      </w:r>
      <w:r w:rsidRPr="00514016">
        <w:rPr>
          <w:sz w:val="24"/>
        </w:rPr>
        <w:t>США)</w:t>
      </w:r>
    </w:p>
    <w:p w:rsidR="00176A1B" w:rsidRDefault="00176A1B" w:rsidP="00DD0CA2">
      <w:pPr>
        <w:jc w:val="both"/>
      </w:pPr>
    </w:p>
    <w:p w:rsidR="00176A1B" w:rsidRDefault="00176A1B" w:rsidP="00DD0CA2">
      <w:pPr>
        <w:jc w:val="both"/>
      </w:pPr>
      <w:r>
        <w:rPr>
          <w:noProof/>
        </w:rPr>
        <w:drawing>
          <wp:inline distT="0" distB="0" distL="0" distR="0" wp14:anchorId="24536777" wp14:editId="2EB5132D">
            <wp:extent cx="5835485" cy="3135085"/>
            <wp:effectExtent l="0" t="0" r="13335" b="27305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6A1B" w:rsidRDefault="00176A1B" w:rsidP="00176A1B">
      <w:pPr>
        <w:ind w:firstLine="567"/>
        <w:jc w:val="right"/>
      </w:pPr>
    </w:p>
    <w:p w:rsidR="00176A1B" w:rsidRPr="00176A1B" w:rsidRDefault="00176A1B" w:rsidP="00176A1B">
      <w:pPr>
        <w:ind w:firstLine="567"/>
        <w:jc w:val="both"/>
      </w:pPr>
      <w:r w:rsidRPr="00176A1B">
        <w:t xml:space="preserve">Основной объем прямых иностранных инвестиций (более 92 </w:t>
      </w:r>
      <w:r>
        <w:t>%</w:t>
      </w:r>
      <w:r w:rsidRPr="00176A1B">
        <w:t>) направлен в предприятия обрабатывающих производств, по добыче полезных ископаемых, геологоразведку, сферу строительства, финансового посредничества и страхования, а также информации и связи. При этом, объем инвестиций, направленных в сферу строительства, увеличился  в 23,4 раза, информации и связи –  в 3,6 раза, предприятия обрабатывающих производств - в 2,0 раза, по добыче</w:t>
      </w:r>
      <w:r>
        <w:t xml:space="preserve"> полезных ископаемых – на 13,4 %</w:t>
      </w:r>
      <w:r w:rsidRPr="00176A1B">
        <w:t xml:space="preserve">, в геологоразведку – на 7,3 </w:t>
      </w:r>
      <w:r>
        <w:t>%</w:t>
      </w:r>
      <w:r w:rsidRPr="00176A1B">
        <w:t xml:space="preserve">, в то время как инвестиции в сферу финансового посредничества и страхования снизились </w:t>
      </w:r>
      <w:proofErr w:type="gramStart"/>
      <w:r w:rsidRPr="00176A1B">
        <w:t>в</w:t>
      </w:r>
      <w:proofErr w:type="gramEnd"/>
      <w:r w:rsidRPr="00176A1B">
        <w:t xml:space="preserve"> 1,5 раза. </w:t>
      </w:r>
    </w:p>
    <w:p w:rsidR="00176A1B" w:rsidRDefault="00176A1B" w:rsidP="00176A1B">
      <w:pPr>
        <w:ind w:firstLine="567"/>
        <w:jc w:val="right"/>
        <w:rPr>
          <w:b/>
        </w:rPr>
      </w:pPr>
    </w:p>
    <w:p w:rsidR="00176A1B" w:rsidRPr="00176A1B" w:rsidRDefault="00176A1B" w:rsidP="00176A1B">
      <w:pPr>
        <w:ind w:firstLine="567"/>
        <w:jc w:val="right"/>
        <w:rPr>
          <w:b/>
        </w:rPr>
      </w:pPr>
      <w:r w:rsidRPr="00176A1B">
        <w:rPr>
          <w:b/>
        </w:rPr>
        <w:t>Таблица 2</w:t>
      </w:r>
    </w:p>
    <w:p w:rsidR="00176A1B" w:rsidRPr="00176A1B" w:rsidRDefault="00176A1B" w:rsidP="00176A1B">
      <w:pPr>
        <w:keepNext/>
        <w:framePr w:hSpace="180" w:wrap="around" w:vAnchor="text" w:hAnchor="margin" w:xAlign="center" w:y="194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</w:rPr>
      </w:pPr>
      <w:r w:rsidRPr="00176A1B">
        <w:rPr>
          <w:b/>
        </w:rPr>
        <w:t>Поступление прямых иностранных инвестиций по территории</w:t>
      </w:r>
    </w:p>
    <w:p w:rsidR="006971A8" w:rsidRPr="00176A1B" w:rsidRDefault="00176A1B" w:rsidP="00176A1B">
      <w:pPr>
        <w:jc w:val="center"/>
        <w:rPr>
          <w:b/>
        </w:rPr>
      </w:pPr>
      <w:r w:rsidRPr="00176A1B">
        <w:rPr>
          <w:b/>
        </w:rPr>
        <w:t>страны</w:t>
      </w:r>
    </w:p>
    <w:tbl>
      <w:tblPr>
        <w:tblStyle w:val="1-2"/>
        <w:tblpPr w:leftFromText="180" w:rightFromText="180" w:vertAnchor="text" w:horzAnchor="margin" w:tblpXSpec="center" w:tblpY="194"/>
        <w:tblW w:w="10235" w:type="dxa"/>
        <w:tblLook w:val="04A0" w:firstRow="1" w:lastRow="0" w:firstColumn="1" w:lastColumn="0" w:noHBand="0" w:noVBand="1"/>
      </w:tblPr>
      <w:tblGrid>
        <w:gridCol w:w="2093"/>
        <w:gridCol w:w="1669"/>
        <w:gridCol w:w="1223"/>
        <w:gridCol w:w="1927"/>
        <w:gridCol w:w="1181"/>
        <w:gridCol w:w="2142"/>
      </w:tblGrid>
      <w:tr w:rsidR="00FD7E58" w:rsidRPr="0035566D" w:rsidTr="00254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570DD4" w:rsidRDefault="00FD7E58" w:rsidP="00570DD4">
            <w:pPr>
              <w:keepNext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FD7E58" w:rsidRPr="000835B8" w:rsidTr="005A3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570DD4" w:rsidRDefault="00FD7E58" w:rsidP="00E5471C">
            <w:pPr>
              <w:keepNext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570DD4" w:rsidRDefault="00FD7E58" w:rsidP="00E5471C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ru-RU"/>
              </w:rPr>
            </w:pPr>
            <w:r w:rsidRPr="00570DD4">
              <w:rPr>
                <w:rFonts w:ascii="Times New Roman" w:hAnsi="Times New Roman"/>
                <w:b/>
                <w:lang w:val="ru-RU"/>
              </w:rPr>
              <w:t>2017 г.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570DD4" w:rsidRDefault="00F72113" w:rsidP="00F338B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2018</w:t>
            </w:r>
            <w:r w:rsidR="00F338B0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г</w:t>
            </w:r>
            <w:r w:rsidR="00FD7E58" w:rsidRPr="00570DD4">
              <w:rPr>
                <w:rFonts w:ascii="Times New Roman" w:hAnsi="Times New Roman"/>
                <w:b/>
                <w:lang w:val="ru-RU"/>
              </w:rPr>
              <w:t>.</w:t>
            </w:r>
          </w:p>
        </w:tc>
      </w:tr>
      <w:tr w:rsidR="00162AC1" w:rsidRPr="00056941" w:rsidTr="009F20F3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570DD4" w:rsidRDefault="00FD7E58" w:rsidP="00E5471C">
            <w:pPr>
              <w:keepNext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8" w:rsidRPr="009F20F3" w:rsidRDefault="009F20F3" w:rsidP="009F20F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</w:t>
            </w:r>
            <w:r w:rsidR="00FD7E58" w:rsidRPr="009F20F3">
              <w:rPr>
                <w:rFonts w:ascii="Times New Roman" w:hAnsi="Times New Roman"/>
                <w:b/>
                <w:lang w:val="ru-RU"/>
              </w:rPr>
              <w:t>ыс. долл. США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8" w:rsidRPr="009F20F3" w:rsidRDefault="00FD7E58" w:rsidP="009F20F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val="ru-RU"/>
              </w:rPr>
            </w:pPr>
            <w:r w:rsidRPr="009F20F3">
              <w:rPr>
                <w:rFonts w:ascii="Times New Roman" w:hAnsi="Times New Roman"/>
                <w:b/>
                <w:lang w:val="ru-RU"/>
              </w:rPr>
              <w:t>%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8" w:rsidRPr="009F20F3" w:rsidRDefault="009F20F3" w:rsidP="009F20F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</w:t>
            </w:r>
            <w:r w:rsidR="00FD7E58" w:rsidRPr="009F20F3">
              <w:rPr>
                <w:rFonts w:ascii="Times New Roman" w:hAnsi="Times New Roman"/>
                <w:b/>
                <w:lang w:val="ru-RU"/>
              </w:rPr>
              <w:t>ыс. долл. США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8" w:rsidRPr="009F20F3" w:rsidRDefault="00FD7E58" w:rsidP="009F20F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val="ru-RU"/>
              </w:rPr>
            </w:pPr>
            <w:r w:rsidRPr="009F20F3">
              <w:rPr>
                <w:rFonts w:ascii="Times New Roman" w:hAnsi="Times New Roman"/>
                <w:b/>
                <w:lang w:val="ru-RU"/>
              </w:rPr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2C" w:rsidRPr="009F20F3" w:rsidRDefault="00BB482C" w:rsidP="009F20F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val="ru-RU"/>
              </w:rPr>
            </w:pPr>
            <w:r w:rsidRPr="009F20F3">
              <w:rPr>
                <w:rFonts w:ascii="Times New Roman" w:hAnsi="Times New Roman"/>
                <w:b/>
                <w:lang w:val="ru-RU"/>
              </w:rPr>
              <w:t>Темп роста</w:t>
            </w:r>
            <w:r w:rsidR="00162AC1" w:rsidRPr="009F20F3">
              <w:rPr>
                <w:rFonts w:ascii="Times New Roman" w:hAnsi="Times New Roman"/>
                <w:b/>
                <w:lang w:val="ru-RU"/>
              </w:rPr>
              <w:t xml:space="preserve"> % к аналогичному периоду прошлого года</w:t>
            </w:r>
          </w:p>
        </w:tc>
      </w:tr>
      <w:tr w:rsidR="00162AC1" w:rsidRPr="000835B8" w:rsidTr="009F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8" w:rsidRPr="00570DD4" w:rsidRDefault="00FD7E58" w:rsidP="009F20F3">
            <w:pPr>
              <w:keepNext/>
              <w:jc w:val="left"/>
              <w:rPr>
                <w:rFonts w:ascii="Times New Roman" w:hAnsi="Times New Roman"/>
                <w:lang w:val="ru-RU"/>
              </w:rPr>
            </w:pPr>
            <w:r w:rsidRPr="00570DD4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8" w:rsidRPr="00084292" w:rsidRDefault="00FD7E58" w:rsidP="009F20F3">
            <w:pPr>
              <w:tabs>
                <w:tab w:val="center" w:pos="6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b/>
                <w:bCs/>
                <w:sz w:val="24"/>
                <w:lang w:val="ru-RU"/>
              </w:rPr>
              <w:t>616 793,1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8" w:rsidRPr="00084292" w:rsidRDefault="00FD7E58" w:rsidP="009F20F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b/>
                <w:sz w:val="24"/>
                <w:lang w:val="ru-RU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8" w:rsidRPr="00084292" w:rsidRDefault="005F5144" w:rsidP="009F20F3">
            <w:pPr>
              <w:tabs>
                <w:tab w:val="center" w:pos="6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b/>
                <w:bCs/>
                <w:sz w:val="24"/>
                <w:lang w:val="ru-RU"/>
              </w:rPr>
              <w:t>851 743,6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8" w:rsidRPr="00084292" w:rsidRDefault="00FD7E58" w:rsidP="009F20F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b/>
                <w:sz w:val="24"/>
                <w:lang w:val="ru-RU"/>
              </w:rPr>
              <w:t>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58" w:rsidRPr="00084292" w:rsidRDefault="005F5144" w:rsidP="009F20F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b/>
                <w:sz w:val="24"/>
                <w:lang w:val="ru-RU"/>
              </w:rPr>
              <w:t>138,1</w:t>
            </w:r>
          </w:p>
        </w:tc>
      </w:tr>
      <w:tr w:rsidR="00E27DDA" w:rsidRPr="000835B8" w:rsidTr="009F20F3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570DD4" w:rsidRDefault="00E27DDA" w:rsidP="009F20F3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70DD4">
              <w:rPr>
                <w:rFonts w:ascii="Times New Roman" w:hAnsi="Times New Roman"/>
              </w:rPr>
              <w:t>Баткенская</w:t>
            </w:r>
            <w:proofErr w:type="spellEnd"/>
            <w:r w:rsidRPr="00570DD4">
              <w:rPr>
                <w:rFonts w:ascii="Times New Roman" w:hAnsi="Times New Roman"/>
              </w:rPr>
              <w:t xml:space="preserve"> </w:t>
            </w:r>
            <w:proofErr w:type="spellStart"/>
            <w:r w:rsidRPr="00570DD4">
              <w:rPr>
                <w:rFonts w:ascii="Times New Roman" w:hAnsi="Times New Roman"/>
              </w:rPr>
              <w:t>область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  <w:lang w:val="ru-RU"/>
              </w:rPr>
              <w:t>4 949,1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F5144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2 152,2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</w:rPr>
              <w:t>0,</w:t>
            </w:r>
            <w:r w:rsidR="005D4394" w:rsidRPr="00084292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4</w:t>
            </w:r>
            <w:r w:rsidR="005D4394" w:rsidRPr="00084292">
              <w:rPr>
                <w:rFonts w:ascii="Times New Roman" w:hAnsi="Times New Roman"/>
                <w:sz w:val="24"/>
                <w:lang w:val="ru-RU"/>
              </w:rPr>
              <w:t>3</w:t>
            </w:r>
            <w:r w:rsidR="005D4394" w:rsidRPr="00084292">
              <w:rPr>
                <w:rFonts w:ascii="Times New Roman" w:hAnsi="Times New Roman"/>
                <w:sz w:val="24"/>
              </w:rPr>
              <w:t>,5</w:t>
            </w:r>
          </w:p>
        </w:tc>
      </w:tr>
      <w:tr w:rsidR="00E27DDA" w:rsidRPr="000835B8" w:rsidTr="009F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570DD4" w:rsidRDefault="00E27DDA" w:rsidP="009F20F3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70DD4">
              <w:rPr>
                <w:rFonts w:ascii="Times New Roman" w:hAnsi="Times New Roman"/>
              </w:rPr>
              <w:t>Джалал-Абадская</w:t>
            </w:r>
            <w:proofErr w:type="spellEnd"/>
            <w:r w:rsidRPr="00570DD4">
              <w:rPr>
                <w:rFonts w:ascii="Times New Roman" w:hAnsi="Times New Roman"/>
              </w:rPr>
              <w:t xml:space="preserve"> </w:t>
            </w:r>
            <w:proofErr w:type="spellStart"/>
            <w:r w:rsidRPr="00570DD4">
              <w:rPr>
                <w:rFonts w:ascii="Times New Roman" w:hAnsi="Times New Roman"/>
              </w:rPr>
              <w:t>область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  <w:lang w:val="ru-RU"/>
              </w:rPr>
              <w:t>119 795,1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19,4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128 806,7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</w:rPr>
              <w:t>1</w:t>
            </w:r>
            <w:r w:rsidR="005D4394" w:rsidRPr="00084292">
              <w:rPr>
                <w:rFonts w:ascii="Times New Roman" w:hAnsi="Times New Roman"/>
                <w:sz w:val="24"/>
                <w:lang w:val="ru-RU"/>
              </w:rPr>
              <w:t>5</w:t>
            </w:r>
            <w:r w:rsidR="005D4394" w:rsidRPr="00084292">
              <w:rPr>
                <w:rFonts w:ascii="Times New Roman" w:hAnsi="Times New Roman"/>
                <w:sz w:val="24"/>
              </w:rPr>
              <w:t>,</w:t>
            </w:r>
            <w:r w:rsidR="005D4394" w:rsidRPr="00084292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  <w:lang w:val="ru-RU"/>
              </w:rPr>
              <w:t>107,5</w:t>
            </w:r>
          </w:p>
        </w:tc>
      </w:tr>
      <w:tr w:rsidR="00E27DDA" w:rsidRPr="000835B8" w:rsidTr="009F20F3">
        <w:trPr>
          <w:trHeight w:val="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570DD4" w:rsidRDefault="00E27DDA" w:rsidP="009F20F3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70DD4">
              <w:rPr>
                <w:rFonts w:ascii="Times New Roman" w:hAnsi="Times New Roman"/>
              </w:rPr>
              <w:t>Иссык-Кульская</w:t>
            </w:r>
            <w:proofErr w:type="spellEnd"/>
            <w:r w:rsidRPr="00570DD4">
              <w:rPr>
                <w:rFonts w:ascii="Times New Roman" w:hAnsi="Times New Roman"/>
              </w:rPr>
              <w:t xml:space="preserve"> </w:t>
            </w:r>
            <w:proofErr w:type="spellStart"/>
            <w:r w:rsidRPr="00570DD4">
              <w:rPr>
                <w:rFonts w:ascii="Times New Roman" w:hAnsi="Times New Roman"/>
              </w:rPr>
              <w:t>область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24 955,1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91 256,9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084292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  <w:lang w:val="ru-RU"/>
              </w:rPr>
              <w:t>365,7</w:t>
            </w:r>
          </w:p>
        </w:tc>
      </w:tr>
      <w:tr w:rsidR="00E27DDA" w:rsidRPr="000835B8" w:rsidTr="0025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570DD4" w:rsidRDefault="00E27DDA" w:rsidP="009F20F3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70DD4">
              <w:rPr>
                <w:rFonts w:ascii="Times New Roman" w:hAnsi="Times New Roman"/>
              </w:rPr>
              <w:t>Нарынская</w:t>
            </w:r>
            <w:proofErr w:type="spellEnd"/>
            <w:r w:rsidRPr="00570DD4">
              <w:rPr>
                <w:rFonts w:ascii="Times New Roman" w:hAnsi="Times New Roman"/>
              </w:rPr>
              <w:t xml:space="preserve"> </w:t>
            </w:r>
            <w:proofErr w:type="spellStart"/>
            <w:r w:rsidRPr="00570DD4">
              <w:rPr>
                <w:rFonts w:ascii="Times New Roman" w:hAnsi="Times New Roman"/>
              </w:rPr>
              <w:t>область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185,9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4 096,8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2 203,8</w:t>
            </w:r>
          </w:p>
        </w:tc>
      </w:tr>
      <w:tr w:rsidR="00E27DDA" w:rsidRPr="000835B8" w:rsidTr="009F20F3">
        <w:trPr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570DD4" w:rsidRDefault="00E27DDA" w:rsidP="009F20F3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70DD4">
              <w:rPr>
                <w:rFonts w:ascii="Times New Roman" w:hAnsi="Times New Roman"/>
              </w:rPr>
              <w:t>Ошская</w:t>
            </w:r>
            <w:proofErr w:type="spellEnd"/>
            <w:r w:rsidRPr="00570DD4">
              <w:rPr>
                <w:rFonts w:ascii="Times New Roman" w:hAnsi="Times New Roman"/>
              </w:rPr>
              <w:t xml:space="preserve"> </w:t>
            </w:r>
            <w:proofErr w:type="spellStart"/>
            <w:r w:rsidRPr="00570DD4">
              <w:rPr>
                <w:rFonts w:ascii="Times New Roman" w:hAnsi="Times New Roman"/>
              </w:rPr>
              <w:t>область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1 293,7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8 238,9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636,8</w:t>
            </w:r>
          </w:p>
        </w:tc>
      </w:tr>
      <w:tr w:rsidR="00E27DDA" w:rsidRPr="000835B8" w:rsidTr="0025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570DD4" w:rsidRDefault="00E27DDA" w:rsidP="009F20F3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70DD4">
              <w:rPr>
                <w:rFonts w:ascii="Times New Roman" w:hAnsi="Times New Roman"/>
              </w:rPr>
              <w:t>Таласская</w:t>
            </w:r>
            <w:proofErr w:type="spellEnd"/>
            <w:r w:rsidRPr="00570DD4">
              <w:rPr>
                <w:rFonts w:ascii="Times New Roman" w:hAnsi="Times New Roman"/>
              </w:rPr>
              <w:t xml:space="preserve"> </w:t>
            </w:r>
            <w:proofErr w:type="spellStart"/>
            <w:r w:rsidRPr="00570DD4">
              <w:rPr>
                <w:rFonts w:ascii="Times New Roman" w:hAnsi="Times New Roman"/>
              </w:rPr>
              <w:t>область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549,6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909,7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</w:rPr>
              <w:t>0,</w:t>
            </w:r>
            <w:r w:rsidR="005D4394" w:rsidRPr="00084292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165,5</w:t>
            </w:r>
          </w:p>
        </w:tc>
      </w:tr>
      <w:tr w:rsidR="00E27DDA" w:rsidRPr="000835B8" w:rsidTr="0025450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A" w:rsidRPr="00570DD4" w:rsidRDefault="00E27DDA" w:rsidP="009F20F3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70DD4">
              <w:rPr>
                <w:rFonts w:ascii="Times New Roman" w:hAnsi="Times New Roman"/>
              </w:rPr>
              <w:t>Чуйская</w:t>
            </w:r>
            <w:proofErr w:type="spellEnd"/>
            <w:r w:rsidRPr="00570DD4">
              <w:rPr>
                <w:rFonts w:ascii="Times New Roman" w:hAnsi="Times New Roman"/>
              </w:rPr>
              <w:t xml:space="preserve"> </w:t>
            </w:r>
            <w:proofErr w:type="spellStart"/>
            <w:r w:rsidRPr="00570DD4">
              <w:rPr>
                <w:rFonts w:ascii="Times New Roman" w:hAnsi="Times New Roman"/>
              </w:rPr>
              <w:t>область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191 803,0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31,1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249 314,3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A" w:rsidRPr="009F20F3" w:rsidRDefault="005D4394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</w:rPr>
              <w:t>29,3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A" w:rsidRPr="009F20F3" w:rsidRDefault="005D4394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</w:rPr>
              <w:t>130,0</w:t>
            </w:r>
          </w:p>
        </w:tc>
      </w:tr>
      <w:tr w:rsidR="00E27DDA" w:rsidRPr="000835B8" w:rsidTr="009F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570DD4" w:rsidRDefault="00E27DDA" w:rsidP="009F20F3">
            <w:pPr>
              <w:jc w:val="left"/>
              <w:rPr>
                <w:rFonts w:ascii="Times New Roman" w:hAnsi="Times New Roman"/>
              </w:rPr>
            </w:pPr>
            <w:r w:rsidRPr="00570DD4">
              <w:rPr>
                <w:rFonts w:ascii="Times New Roman" w:hAnsi="Times New Roman"/>
              </w:rPr>
              <w:t xml:space="preserve">г. </w:t>
            </w:r>
            <w:proofErr w:type="spellStart"/>
            <w:r w:rsidRPr="00570DD4">
              <w:rPr>
                <w:rFonts w:ascii="Times New Roman" w:hAnsi="Times New Roman"/>
              </w:rPr>
              <w:t>Бишкек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273 087,5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44,3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366 946,0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43,1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134,4</w:t>
            </w:r>
          </w:p>
        </w:tc>
      </w:tr>
      <w:tr w:rsidR="00E27DDA" w:rsidRPr="00BB482C" w:rsidTr="009F20F3">
        <w:trPr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570DD4" w:rsidRDefault="00E27DDA" w:rsidP="009F20F3">
            <w:pPr>
              <w:jc w:val="left"/>
              <w:rPr>
                <w:rFonts w:ascii="Times New Roman" w:hAnsi="Times New Roman"/>
                <w:lang w:val="ru-RU"/>
              </w:rPr>
            </w:pPr>
            <w:r w:rsidRPr="00570DD4">
              <w:rPr>
                <w:rFonts w:ascii="Times New Roman" w:hAnsi="Times New Roman"/>
                <w:lang w:val="ru-RU"/>
              </w:rPr>
              <w:t>г. Ош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  <w:lang w:val="ru-RU"/>
              </w:rPr>
              <w:t>174,1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/>
              </w:rPr>
            </w:pPr>
            <w:r w:rsidRPr="00084292">
              <w:rPr>
                <w:rFonts w:ascii="Times New Roman" w:hAnsi="Times New Roman"/>
                <w:sz w:val="24"/>
                <w:lang w:val="ru-RU"/>
              </w:rPr>
              <w:t>0,028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5D4394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22,1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A" w:rsidRPr="00084292" w:rsidRDefault="00E27DDA" w:rsidP="009F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084292">
              <w:rPr>
                <w:rFonts w:ascii="Times New Roman" w:hAnsi="Times New Roman"/>
                <w:sz w:val="24"/>
              </w:rPr>
              <w:t>12,7</w:t>
            </w:r>
          </w:p>
        </w:tc>
      </w:tr>
    </w:tbl>
    <w:p w:rsidR="006971A8" w:rsidRPr="00D512D0" w:rsidRDefault="006971A8" w:rsidP="00570DD4">
      <w:pPr>
        <w:rPr>
          <w:b/>
          <w:sz w:val="28"/>
          <w:szCs w:val="28"/>
        </w:rPr>
      </w:pPr>
    </w:p>
    <w:p w:rsidR="00DD0CA2" w:rsidRPr="00DD0CA2" w:rsidRDefault="00DD0CA2" w:rsidP="00DD0CA2">
      <w:pPr>
        <w:pStyle w:val="a8"/>
        <w:ind w:firstLine="708"/>
        <w:rPr>
          <w:sz w:val="24"/>
          <w:szCs w:val="24"/>
        </w:rPr>
      </w:pPr>
      <w:r w:rsidRPr="00DD0CA2">
        <w:rPr>
          <w:sz w:val="24"/>
          <w:szCs w:val="24"/>
        </w:rPr>
        <w:t xml:space="preserve">В </w:t>
      </w:r>
      <w:r w:rsidRPr="00DD0CA2">
        <w:rPr>
          <w:b/>
          <w:sz w:val="24"/>
          <w:szCs w:val="24"/>
        </w:rPr>
        <w:t>структуре</w:t>
      </w:r>
      <w:r w:rsidRPr="00DD0CA2">
        <w:rPr>
          <w:sz w:val="24"/>
          <w:szCs w:val="24"/>
        </w:rPr>
        <w:t xml:space="preserve"> прямых иностранных инвестиций по сравнению с предыдущим годом отмечалось </w:t>
      </w:r>
      <w:r w:rsidRPr="00DD0CA2">
        <w:rPr>
          <w:b/>
          <w:sz w:val="24"/>
          <w:szCs w:val="24"/>
        </w:rPr>
        <w:t>увеличение</w:t>
      </w:r>
      <w:r w:rsidRPr="00DD0CA2">
        <w:rPr>
          <w:sz w:val="24"/>
          <w:szCs w:val="24"/>
        </w:rPr>
        <w:t xml:space="preserve"> объемов всех составляющих, за исключением взносов в собственный капитал. </w:t>
      </w:r>
    </w:p>
    <w:p w:rsidR="00DD0CA2" w:rsidRDefault="00DD0CA2" w:rsidP="00DD0CA2">
      <w:pPr>
        <w:shd w:val="clear" w:color="auto" w:fill="FFFFFF"/>
        <w:spacing w:before="120" w:after="120"/>
        <w:ind w:left="1247" w:hanging="1247"/>
        <w:jc w:val="center"/>
        <w:rPr>
          <w:b/>
          <w:bCs/>
        </w:rPr>
      </w:pPr>
      <w:r w:rsidRPr="00DD0CA2">
        <w:rPr>
          <w:b/>
          <w:bCs/>
        </w:rPr>
        <w:t>Поступление прямых иностранных инвестиций</w:t>
      </w:r>
      <w:proofErr w:type="gramStart"/>
      <w:r w:rsidRPr="00DD0CA2">
        <w:rPr>
          <w:b/>
          <w:bCs/>
          <w:vertAlign w:val="superscript"/>
        </w:rPr>
        <w:t>1</w:t>
      </w:r>
      <w:proofErr w:type="gramEnd"/>
    </w:p>
    <w:p w:rsidR="00DD0CA2" w:rsidRPr="00DD0CA2" w:rsidRDefault="00DD0CA2" w:rsidP="00DD0CA2">
      <w:pPr>
        <w:shd w:val="clear" w:color="auto" w:fill="FFFFFF"/>
        <w:spacing w:before="120" w:after="120"/>
        <w:ind w:left="1247" w:hanging="1247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8"/>
        <w:gridCol w:w="900"/>
        <w:gridCol w:w="1629"/>
        <w:gridCol w:w="1264"/>
        <w:gridCol w:w="1259"/>
      </w:tblGrid>
      <w:tr w:rsidR="00DD0CA2" w:rsidRPr="00DD0CA2" w:rsidTr="003260AA">
        <w:trPr>
          <w:cantSplit/>
          <w:tblHeader/>
        </w:trPr>
        <w:tc>
          <w:tcPr>
            <w:tcW w:w="43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rPr>
                <w:b/>
                <w:bCs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ind w:left="340"/>
              <w:jc w:val="center"/>
              <w:rPr>
                <w:b/>
                <w:bCs/>
              </w:rPr>
            </w:pPr>
            <w:r w:rsidRPr="00DD0CA2">
              <w:rPr>
                <w:b/>
                <w:bCs/>
              </w:rPr>
              <w:t>Млн. долларов США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ind w:left="567"/>
              <w:jc w:val="center"/>
              <w:rPr>
                <w:b/>
                <w:bCs/>
              </w:rPr>
            </w:pPr>
            <w:r w:rsidRPr="00DD0CA2">
              <w:rPr>
                <w:b/>
                <w:bCs/>
              </w:rPr>
              <w:t>В процентах к итогу</w:t>
            </w:r>
          </w:p>
        </w:tc>
      </w:tr>
      <w:tr w:rsidR="00DD0CA2" w:rsidRPr="00DD0CA2" w:rsidTr="003260AA">
        <w:trPr>
          <w:tblHeader/>
        </w:trPr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jc w:val="right"/>
              <w:rPr>
                <w:b/>
                <w:bCs/>
                <w:lang w:val="en-US"/>
              </w:rPr>
            </w:pPr>
            <w:r w:rsidRPr="00DD0CA2">
              <w:rPr>
                <w:b/>
                <w:bCs/>
              </w:rPr>
              <w:t>2017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jc w:val="right"/>
              <w:rPr>
                <w:b/>
                <w:bCs/>
              </w:rPr>
            </w:pPr>
            <w:r w:rsidRPr="00DD0CA2">
              <w:rPr>
                <w:b/>
                <w:bCs/>
              </w:rPr>
              <w:t>20</w:t>
            </w:r>
            <w:r w:rsidRPr="00DD0CA2">
              <w:rPr>
                <w:b/>
                <w:bCs/>
                <w:lang w:val="en-US"/>
              </w:rPr>
              <w:t>1</w:t>
            </w:r>
            <w:r w:rsidRPr="00DD0CA2">
              <w:rPr>
                <w:b/>
                <w:bCs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jc w:val="right"/>
              <w:rPr>
                <w:b/>
                <w:bCs/>
                <w:lang w:val="en-US"/>
              </w:rPr>
            </w:pPr>
            <w:r w:rsidRPr="00DD0CA2">
              <w:rPr>
                <w:b/>
                <w:bCs/>
              </w:rPr>
              <w:t>2017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jc w:val="right"/>
              <w:rPr>
                <w:b/>
                <w:bCs/>
                <w:lang w:val="en-US"/>
              </w:rPr>
            </w:pPr>
            <w:r w:rsidRPr="00DD0CA2">
              <w:rPr>
                <w:b/>
                <w:bCs/>
              </w:rPr>
              <w:t>20</w:t>
            </w:r>
            <w:r w:rsidRPr="00DD0CA2">
              <w:rPr>
                <w:b/>
                <w:bCs/>
                <w:lang w:val="en-US"/>
              </w:rPr>
              <w:t>1</w:t>
            </w:r>
            <w:r w:rsidRPr="00DD0CA2">
              <w:rPr>
                <w:b/>
                <w:bCs/>
              </w:rPr>
              <w:t>8</w:t>
            </w:r>
          </w:p>
        </w:tc>
      </w:tr>
      <w:tr w:rsidR="00DD0CA2" w:rsidRPr="00DD0CA2" w:rsidTr="003260AA">
        <w:tc>
          <w:tcPr>
            <w:tcW w:w="43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rPr>
                <w:b/>
                <w:bCs/>
              </w:rPr>
            </w:pPr>
            <w:r w:rsidRPr="00DD0CA2">
              <w:rPr>
                <w:b/>
                <w:bCs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spacing w:after="20"/>
              <w:ind w:right="-1"/>
              <w:jc w:val="right"/>
              <w:rPr>
                <w:b/>
              </w:rPr>
            </w:pPr>
            <w:r w:rsidRPr="00DD0CA2">
              <w:rPr>
                <w:b/>
              </w:rPr>
              <w:t>616,8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spacing w:after="20"/>
              <w:ind w:right="-1"/>
              <w:jc w:val="right"/>
              <w:rPr>
                <w:b/>
              </w:rPr>
            </w:pPr>
            <w:r w:rsidRPr="00DD0CA2">
              <w:rPr>
                <w:b/>
              </w:rPr>
              <w:t>851,7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spacing w:before="20" w:after="20"/>
              <w:ind w:right="-1"/>
              <w:jc w:val="right"/>
              <w:rPr>
                <w:b/>
                <w:bCs/>
              </w:rPr>
            </w:pPr>
            <w:r w:rsidRPr="00DD0CA2">
              <w:rPr>
                <w:b/>
                <w:bCs/>
              </w:rPr>
              <w:t>100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pStyle w:val="ab"/>
              <w:spacing w:before="20" w:after="20" w:line="240" w:lineRule="auto"/>
              <w:ind w:right="-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D0C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57"/>
            </w:pPr>
            <w:r w:rsidRPr="00DD0CA2">
              <w:t>Собственный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191,5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31,0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12,2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spacing w:after="20"/>
              <w:ind w:left="488" w:hanging="431"/>
            </w:pPr>
            <w:r w:rsidRPr="00DD0CA2">
              <w:t>Финансовый лизинг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57"/>
            </w:pPr>
            <w:r w:rsidRPr="00DD0CA2">
              <w:t>Реинвестированная прибыль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127,5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207,3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20,7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24,4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57"/>
            </w:pPr>
            <w:r w:rsidRPr="00DD0CA2">
              <w:t>Прочие 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297,8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540,1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48,3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63,4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227"/>
            </w:pPr>
            <w:r w:rsidRPr="00DD0CA2">
              <w:t>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</w:pP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ind w:left="226" w:hanging="113"/>
              <w:rPr>
                <w:color w:val="000000"/>
              </w:rPr>
            </w:pPr>
            <w:r w:rsidRPr="00DD0CA2">
              <w:rPr>
                <w:color w:val="000000"/>
              </w:rPr>
              <w:t>кредиты, полученные от нерезидентов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before="100" w:beforeAutospacing="1" w:after="20"/>
              <w:jc w:val="right"/>
            </w:pPr>
            <w:r w:rsidRPr="00DD0CA2">
              <w:t>211,7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before="100" w:beforeAutospacing="1" w:after="20"/>
              <w:jc w:val="right"/>
            </w:pPr>
            <w:r w:rsidRPr="00DD0CA2">
              <w:t>343,0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34,3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40,3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226" w:hanging="113"/>
              <w:rPr>
                <w:color w:val="000000"/>
              </w:rPr>
            </w:pPr>
            <w:r w:rsidRPr="00DD0CA2">
              <w:rPr>
                <w:color w:val="000000"/>
              </w:rPr>
              <w:t>торговые кредиты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72,8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11,8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23,0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226" w:hanging="113"/>
              <w:rPr>
                <w:color w:val="000000"/>
              </w:rPr>
            </w:pPr>
            <w:r w:rsidRPr="00DD0CA2">
              <w:rPr>
                <w:color w:val="000000"/>
              </w:rPr>
              <w:t>прочая кредиторская задолженность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13,3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2,2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0,1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226" w:hanging="113"/>
              <w:rPr>
                <w:color w:val="000000"/>
              </w:rPr>
            </w:pPr>
            <w:r w:rsidRPr="00DD0CA2">
              <w:rPr>
                <w:color w:val="000000"/>
              </w:rPr>
              <w:t>прочие обязательства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0,0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</w:tr>
      <w:tr w:rsidR="00DD0CA2" w:rsidRPr="00DD0CA2" w:rsidTr="003260AA">
        <w:tc>
          <w:tcPr>
            <w:tcW w:w="43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before="120"/>
            </w:pPr>
            <w:r w:rsidRPr="00DD0CA2">
              <w:rPr>
                <w:vertAlign w:val="superscript"/>
              </w:rPr>
              <w:t>1</w:t>
            </w:r>
            <w:proofErr w:type="gramStart"/>
            <w:r w:rsidRPr="00DD0CA2">
              <w:rPr>
                <w:vertAlign w:val="superscript"/>
              </w:rPr>
              <w:t xml:space="preserve"> </w:t>
            </w:r>
            <w:r w:rsidRPr="00DD0CA2">
              <w:t>Б</w:t>
            </w:r>
            <w:proofErr w:type="gramEnd"/>
            <w:r w:rsidRPr="00DD0CA2">
              <w:t>ез учета оттока.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pStyle w:val="2"/>
              <w:spacing w:before="20" w:after="20"/>
              <w:ind w:right="-1"/>
              <w:jc w:val="right"/>
            </w:pP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pStyle w:val="aa"/>
              <w:spacing w:before="20" w:after="20"/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pStyle w:val="aa"/>
              <w:spacing w:before="20" w:after="20"/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pStyle w:val="aa"/>
              <w:spacing w:before="20" w:after="20"/>
              <w:ind w:right="-1"/>
              <w:jc w:val="right"/>
              <w:rPr>
                <w:sz w:val="24"/>
                <w:szCs w:val="24"/>
              </w:rPr>
            </w:pPr>
          </w:p>
        </w:tc>
      </w:tr>
    </w:tbl>
    <w:p w:rsidR="00176A1B" w:rsidRDefault="00176A1B" w:rsidP="00176A1B">
      <w:pPr>
        <w:rPr>
          <w:b/>
          <w:lang w:val="en-US"/>
        </w:rPr>
      </w:pPr>
    </w:p>
    <w:p w:rsidR="00176A1B" w:rsidRDefault="00176A1B" w:rsidP="00176A1B">
      <w:pPr>
        <w:rPr>
          <w:b/>
          <w:lang w:val="en-US"/>
        </w:rPr>
      </w:pPr>
    </w:p>
    <w:p w:rsidR="00DD0CA2" w:rsidRDefault="00DD0CA2" w:rsidP="00DD0CA2">
      <w:pPr>
        <w:tabs>
          <w:tab w:val="left" w:pos="6430"/>
        </w:tabs>
        <w:ind w:firstLine="709"/>
        <w:contextualSpacing/>
        <w:jc w:val="both"/>
      </w:pPr>
      <w:r w:rsidRPr="00401C41">
        <w:rPr>
          <w:b/>
          <w:u w:val="single"/>
        </w:rPr>
        <w:lastRenderedPageBreak/>
        <w:t>Приток ПИИ из стран СНГ</w:t>
      </w:r>
      <w:r w:rsidRPr="00803C88">
        <w:t xml:space="preserve"> </w:t>
      </w:r>
      <w:r>
        <w:t xml:space="preserve">за 2018 </w:t>
      </w:r>
      <w:r w:rsidRPr="00803C88">
        <w:t>г</w:t>
      </w:r>
      <w:r>
        <w:t>. по сравнению с аналогичным периодом с</w:t>
      </w:r>
      <w:r w:rsidRPr="00803C88">
        <w:t xml:space="preserve"> </w:t>
      </w:r>
      <w:r>
        <w:t>2017 г</w:t>
      </w:r>
      <w:r w:rsidRPr="00803C88">
        <w:t xml:space="preserve"> </w:t>
      </w:r>
      <w:r>
        <w:rPr>
          <w:u w:val="single"/>
        </w:rPr>
        <w:t xml:space="preserve">увеличился на </w:t>
      </w:r>
      <w:r w:rsidRPr="00401C41">
        <w:rPr>
          <w:u w:val="single"/>
        </w:rPr>
        <w:t>104,6</w:t>
      </w:r>
      <w:r>
        <w:rPr>
          <w:u w:val="single"/>
        </w:rPr>
        <w:t xml:space="preserve"> % и составил </w:t>
      </w:r>
      <w:r w:rsidRPr="00401C41">
        <w:rPr>
          <w:u w:val="single"/>
        </w:rPr>
        <w:t>155 881,5</w:t>
      </w:r>
      <w:r>
        <w:rPr>
          <w:u w:val="single"/>
        </w:rPr>
        <w:t xml:space="preserve"> тыс</w:t>
      </w:r>
      <w:r w:rsidRPr="00803C88">
        <w:rPr>
          <w:u w:val="single"/>
        </w:rPr>
        <w:t>. долларов США,</w:t>
      </w:r>
      <w:r w:rsidRPr="00803C88">
        <w:t xml:space="preserve"> что составило </w:t>
      </w:r>
      <w:r>
        <w:t>18,3</w:t>
      </w:r>
      <w:r w:rsidRPr="00803C88">
        <w:t xml:space="preserve">% от всего объема поступлений. </w:t>
      </w:r>
      <w:r>
        <w:t xml:space="preserve">Наибольший показатель притока инвестиций у России – </w:t>
      </w:r>
      <w:r w:rsidRPr="00401C41">
        <w:t>124 361,1</w:t>
      </w:r>
      <w:r>
        <w:t xml:space="preserve"> тыс. долл. США. </w:t>
      </w:r>
    </w:p>
    <w:p w:rsidR="00DD0CA2" w:rsidRPr="00254502" w:rsidRDefault="00DD0CA2" w:rsidP="00DD0CA2">
      <w:pPr>
        <w:tabs>
          <w:tab w:val="left" w:pos="6430"/>
        </w:tabs>
        <w:ind w:firstLine="709"/>
        <w:contextualSpacing/>
        <w:jc w:val="both"/>
      </w:pPr>
      <w:r w:rsidRPr="00401C41">
        <w:rPr>
          <w:b/>
          <w:u w:val="single"/>
        </w:rPr>
        <w:t xml:space="preserve">81,7% от всего объема ПИИ приходится на страны вне СНГ.  </w:t>
      </w:r>
    </w:p>
    <w:p w:rsidR="00DD0CA2" w:rsidRPr="00F95ED6" w:rsidRDefault="00DD0CA2" w:rsidP="00DD0CA2">
      <w:pPr>
        <w:tabs>
          <w:tab w:val="left" w:pos="6430"/>
        </w:tabs>
        <w:contextualSpacing/>
        <w:rPr>
          <w:b/>
        </w:rPr>
      </w:pPr>
      <w:r>
        <w:t>Наибольший объем инвестиций поступил из следующих стран:</w:t>
      </w:r>
    </w:p>
    <w:p w:rsidR="00DD0CA2" w:rsidRPr="00803C88" w:rsidRDefault="00DD0CA2" w:rsidP="00DD0CA2">
      <w:pPr>
        <w:tabs>
          <w:tab w:val="left" w:pos="6430"/>
        </w:tabs>
        <w:ind w:firstLine="709"/>
        <w:contextualSpacing/>
      </w:pPr>
      <w:r>
        <w:t xml:space="preserve">Китай – </w:t>
      </w:r>
      <w:r w:rsidRPr="00401C41">
        <w:t>338 092,6</w:t>
      </w:r>
      <w:r>
        <w:t xml:space="preserve"> тыс. долл. США</w:t>
      </w:r>
      <w:r w:rsidRPr="00803C88">
        <w:t xml:space="preserve"> </w:t>
      </w:r>
      <w:r>
        <w:t>(</w:t>
      </w:r>
      <w:r w:rsidRPr="00401C41">
        <w:t>39,7</w:t>
      </w:r>
      <w:r w:rsidRPr="00803C88">
        <w:t>%</w:t>
      </w:r>
      <w:r>
        <w:t>);</w:t>
      </w:r>
    </w:p>
    <w:p w:rsidR="00DD0CA2" w:rsidRDefault="00DD0CA2" w:rsidP="00DD0CA2">
      <w:pPr>
        <w:tabs>
          <w:tab w:val="left" w:pos="6430"/>
        </w:tabs>
        <w:ind w:firstLine="709"/>
        <w:contextualSpacing/>
      </w:pPr>
      <w:r>
        <w:t xml:space="preserve">Канада - </w:t>
      </w:r>
      <w:r w:rsidRPr="00401C41">
        <w:t>98 438,7</w:t>
      </w:r>
      <w:r>
        <w:t xml:space="preserve"> тыс. долл. США</w:t>
      </w:r>
      <w:r w:rsidRPr="00803C88">
        <w:t xml:space="preserve"> </w:t>
      </w:r>
      <w:r>
        <w:t>(11,6</w:t>
      </w:r>
      <w:r w:rsidRPr="00803C88">
        <w:t>%</w:t>
      </w:r>
      <w:r>
        <w:t>);</w:t>
      </w:r>
    </w:p>
    <w:p w:rsidR="00DD0CA2" w:rsidRDefault="00DD0CA2" w:rsidP="00DD0CA2">
      <w:pPr>
        <w:tabs>
          <w:tab w:val="left" w:pos="6430"/>
        </w:tabs>
        <w:ind w:firstLine="709"/>
        <w:contextualSpacing/>
      </w:pPr>
      <w:r>
        <w:t xml:space="preserve">Турция - </w:t>
      </w:r>
      <w:r w:rsidRPr="00401C41">
        <w:t>93 461,0</w:t>
      </w:r>
      <w:r>
        <w:t xml:space="preserve"> тыс. долл. США</w:t>
      </w:r>
      <w:r w:rsidRPr="00803C88">
        <w:t xml:space="preserve"> </w:t>
      </w:r>
      <w:r>
        <w:t>(11,0</w:t>
      </w:r>
      <w:r w:rsidRPr="00803C88">
        <w:t>%</w:t>
      </w:r>
      <w:r>
        <w:t>);</w:t>
      </w:r>
    </w:p>
    <w:p w:rsidR="00DD0CA2" w:rsidRDefault="00DD0CA2" w:rsidP="00DD0CA2">
      <w:pPr>
        <w:tabs>
          <w:tab w:val="left" w:pos="6430"/>
        </w:tabs>
        <w:ind w:firstLine="709"/>
        <w:contextualSpacing/>
      </w:pPr>
      <w:r>
        <w:t xml:space="preserve">Нидерланды – </w:t>
      </w:r>
      <w:r w:rsidRPr="00401C41">
        <w:t>57 318,5</w:t>
      </w:r>
      <w:r>
        <w:t xml:space="preserve"> тыс. долл. США (6,7</w:t>
      </w:r>
      <w:r w:rsidRPr="00803C88">
        <w:t>%</w:t>
      </w:r>
      <w:r>
        <w:t>);</w:t>
      </w:r>
    </w:p>
    <w:p w:rsidR="00DD0CA2" w:rsidRDefault="00DD0CA2" w:rsidP="00DD0CA2">
      <w:pPr>
        <w:tabs>
          <w:tab w:val="left" w:pos="6430"/>
        </w:tabs>
        <w:ind w:firstLine="709"/>
        <w:contextualSpacing/>
      </w:pPr>
      <w:r>
        <w:t xml:space="preserve">Великобритания - </w:t>
      </w:r>
      <w:r w:rsidRPr="00401C41">
        <w:t>27 439,1</w:t>
      </w:r>
      <w:r>
        <w:t xml:space="preserve"> тыс. долл. США (3,2</w:t>
      </w:r>
      <w:r w:rsidRPr="00803C88">
        <w:t>%</w:t>
      </w:r>
      <w:r>
        <w:t>);</w:t>
      </w:r>
    </w:p>
    <w:p w:rsidR="00DD0CA2" w:rsidRDefault="00DD0CA2" w:rsidP="00DD0CA2">
      <w:pPr>
        <w:shd w:val="clear" w:color="auto" w:fill="FFFFFF"/>
        <w:spacing w:before="120" w:after="120"/>
        <w:ind w:left="1247" w:hanging="1247"/>
        <w:rPr>
          <w:b/>
          <w:bCs/>
        </w:rPr>
      </w:pPr>
      <w:bookmarkStart w:id="0" w:name="_GoBack"/>
      <w:bookmarkEnd w:id="0"/>
    </w:p>
    <w:p w:rsidR="00DD0CA2" w:rsidRPr="00DD0CA2" w:rsidRDefault="00DD0CA2" w:rsidP="00DD0CA2">
      <w:pPr>
        <w:pStyle w:val="a8"/>
        <w:ind w:firstLine="567"/>
        <w:rPr>
          <w:sz w:val="24"/>
          <w:szCs w:val="24"/>
        </w:rPr>
      </w:pPr>
      <w:r w:rsidRPr="00DD0CA2">
        <w:rPr>
          <w:b/>
          <w:sz w:val="24"/>
          <w:szCs w:val="24"/>
        </w:rPr>
        <w:t>Отток прямых иностранных инвестиций</w:t>
      </w:r>
      <w:r w:rsidRPr="00DD0CA2">
        <w:rPr>
          <w:sz w:val="24"/>
          <w:szCs w:val="24"/>
        </w:rPr>
        <w:t xml:space="preserve"> в 2018 году в сравнении с 2017 годом </w:t>
      </w:r>
      <w:r w:rsidRPr="00DD0CA2">
        <w:rPr>
          <w:b/>
          <w:sz w:val="24"/>
          <w:szCs w:val="24"/>
        </w:rPr>
        <w:t>снизился на 2,3 процента</w:t>
      </w:r>
      <w:r w:rsidRPr="00DD0CA2">
        <w:rPr>
          <w:sz w:val="24"/>
          <w:szCs w:val="24"/>
        </w:rPr>
        <w:t xml:space="preserve"> и составил 707,5 млн. долларов.</w:t>
      </w:r>
    </w:p>
    <w:p w:rsidR="00DD0CA2" w:rsidRDefault="00DD0CA2" w:rsidP="00DD0CA2">
      <w:pPr>
        <w:pStyle w:val="a8"/>
        <w:ind w:firstLine="709"/>
        <w:rPr>
          <w:sz w:val="24"/>
          <w:szCs w:val="24"/>
        </w:rPr>
      </w:pPr>
      <w:r w:rsidRPr="00DD0CA2">
        <w:rPr>
          <w:sz w:val="24"/>
          <w:szCs w:val="24"/>
        </w:rPr>
        <w:t xml:space="preserve">В структуре  прямых иностранных инвестиций по сравнению с предыдущим годом отмечалось снижение оттока собственного капитала, реинвестированной прибыли, а также кредитов, полученных от нерезидентов. </w:t>
      </w:r>
    </w:p>
    <w:p w:rsidR="00DD0CA2" w:rsidRPr="00DD0CA2" w:rsidRDefault="00DD0CA2" w:rsidP="00DD0CA2">
      <w:pPr>
        <w:pStyle w:val="a8"/>
        <w:ind w:firstLine="709"/>
        <w:jc w:val="center"/>
        <w:rPr>
          <w:b/>
          <w:sz w:val="24"/>
          <w:szCs w:val="24"/>
        </w:rPr>
      </w:pPr>
      <w:r w:rsidRPr="00DD0CA2">
        <w:rPr>
          <w:b/>
          <w:bCs/>
          <w:sz w:val="24"/>
          <w:szCs w:val="24"/>
        </w:rPr>
        <w:t>Отток прямых иностранных инвестиций</w:t>
      </w:r>
    </w:p>
    <w:p w:rsidR="00DD0CA2" w:rsidRDefault="00DD0CA2" w:rsidP="00DD0CA2">
      <w:pPr>
        <w:pStyle w:val="a8"/>
        <w:ind w:firstLine="709"/>
        <w:jc w:val="right"/>
        <w:rPr>
          <w:b/>
          <w:sz w:val="24"/>
          <w:szCs w:val="24"/>
        </w:rPr>
      </w:pPr>
      <w:r w:rsidRPr="00DD0CA2">
        <w:rPr>
          <w:b/>
          <w:sz w:val="24"/>
          <w:szCs w:val="24"/>
        </w:rPr>
        <w:t>Таблица 4</w:t>
      </w:r>
    </w:p>
    <w:p w:rsidR="00DD0CA2" w:rsidRPr="00DD0CA2" w:rsidRDefault="00DD0CA2" w:rsidP="00DD0CA2">
      <w:pPr>
        <w:pStyle w:val="a8"/>
        <w:ind w:firstLine="709"/>
        <w:jc w:val="right"/>
        <w:rPr>
          <w:b/>
          <w:sz w:val="24"/>
          <w:szCs w:val="24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8"/>
        <w:gridCol w:w="900"/>
        <w:gridCol w:w="1629"/>
        <w:gridCol w:w="1264"/>
        <w:gridCol w:w="1259"/>
      </w:tblGrid>
      <w:tr w:rsidR="00DD0CA2" w:rsidRPr="00DD0CA2" w:rsidTr="003260AA">
        <w:trPr>
          <w:cantSplit/>
          <w:tblHeader/>
        </w:trPr>
        <w:tc>
          <w:tcPr>
            <w:tcW w:w="43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rPr>
                <w:b/>
                <w:bCs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ind w:left="340"/>
              <w:jc w:val="center"/>
              <w:rPr>
                <w:b/>
                <w:bCs/>
              </w:rPr>
            </w:pPr>
            <w:r w:rsidRPr="00DD0CA2">
              <w:rPr>
                <w:b/>
                <w:bCs/>
              </w:rPr>
              <w:t>Млн. долларов США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ind w:left="567"/>
              <w:jc w:val="center"/>
              <w:rPr>
                <w:b/>
                <w:bCs/>
              </w:rPr>
            </w:pPr>
            <w:r w:rsidRPr="00DD0CA2">
              <w:rPr>
                <w:b/>
                <w:bCs/>
              </w:rPr>
              <w:t>В процентах к итогу</w:t>
            </w:r>
          </w:p>
        </w:tc>
      </w:tr>
      <w:tr w:rsidR="00DD0CA2" w:rsidRPr="00DD0CA2" w:rsidTr="003260AA">
        <w:trPr>
          <w:tblHeader/>
        </w:trPr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jc w:val="right"/>
              <w:rPr>
                <w:b/>
                <w:bCs/>
                <w:lang w:val="en-US"/>
              </w:rPr>
            </w:pPr>
            <w:r w:rsidRPr="00DD0CA2">
              <w:rPr>
                <w:b/>
                <w:bCs/>
              </w:rPr>
              <w:t>2017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jc w:val="right"/>
              <w:rPr>
                <w:b/>
                <w:bCs/>
              </w:rPr>
            </w:pPr>
            <w:r w:rsidRPr="00DD0CA2">
              <w:rPr>
                <w:b/>
                <w:bCs/>
              </w:rPr>
              <w:t>20</w:t>
            </w:r>
            <w:r w:rsidRPr="00DD0CA2">
              <w:rPr>
                <w:b/>
                <w:bCs/>
                <w:lang w:val="en-US"/>
              </w:rPr>
              <w:t>1</w:t>
            </w:r>
            <w:r w:rsidRPr="00DD0CA2">
              <w:rPr>
                <w:b/>
                <w:bCs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jc w:val="right"/>
              <w:rPr>
                <w:b/>
                <w:bCs/>
                <w:lang w:val="en-US"/>
              </w:rPr>
            </w:pPr>
            <w:r w:rsidRPr="00DD0CA2">
              <w:rPr>
                <w:b/>
                <w:bCs/>
              </w:rPr>
              <w:t>2017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jc w:val="right"/>
              <w:rPr>
                <w:b/>
                <w:bCs/>
                <w:lang w:val="en-US"/>
              </w:rPr>
            </w:pPr>
            <w:r w:rsidRPr="00DD0CA2">
              <w:rPr>
                <w:b/>
                <w:bCs/>
              </w:rPr>
              <w:t>20</w:t>
            </w:r>
            <w:r w:rsidRPr="00DD0CA2">
              <w:rPr>
                <w:b/>
                <w:bCs/>
                <w:lang w:val="en-US"/>
              </w:rPr>
              <w:t>1</w:t>
            </w:r>
            <w:r w:rsidRPr="00DD0CA2">
              <w:rPr>
                <w:b/>
                <w:bCs/>
              </w:rPr>
              <w:t>8</w:t>
            </w:r>
          </w:p>
        </w:tc>
      </w:tr>
      <w:tr w:rsidR="00DD0CA2" w:rsidRPr="00DD0CA2" w:rsidTr="003260AA">
        <w:tc>
          <w:tcPr>
            <w:tcW w:w="43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hd w:val="clear" w:color="auto" w:fill="FFFFFF"/>
              <w:spacing w:before="20" w:after="20"/>
              <w:rPr>
                <w:b/>
                <w:bCs/>
              </w:rPr>
            </w:pPr>
            <w:r w:rsidRPr="00DD0CA2">
              <w:rPr>
                <w:b/>
                <w:bCs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spacing w:after="20"/>
              <w:ind w:right="-1"/>
              <w:jc w:val="right"/>
              <w:rPr>
                <w:b/>
              </w:rPr>
            </w:pPr>
            <w:r w:rsidRPr="00DD0CA2">
              <w:rPr>
                <w:b/>
              </w:rPr>
              <w:t>724,0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spacing w:after="20"/>
              <w:ind w:right="-1"/>
              <w:jc w:val="right"/>
              <w:rPr>
                <w:b/>
              </w:rPr>
            </w:pPr>
            <w:r w:rsidRPr="00DD0CA2">
              <w:rPr>
                <w:b/>
              </w:rPr>
              <w:t>707,5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spacing w:before="20" w:after="20"/>
              <w:ind w:right="-1"/>
              <w:jc w:val="right"/>
              <w:rPr>
                <w:b/>
                <w:bCs/>
              </w:rPr>
            </w:pPr>
            <w:r w:rsidRPr="00DD0CA2">
              <w:rPr>
                <w:b/>
                <w:bCs/>
              </w:rPr>
              <w:t>100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pStyle w:val="ab"/>
              <w:spacing w:before="20" w:after="20" w:line="240" w:lineRule="auto"/>
              <w:ind w:right="-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D0C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57"/>
            </w:pPr>
            <w:r w:rsidRPr="00DD0CA2">
              <w:t>Собственный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78,5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10,8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9,8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A2" w:rsidRPr="00DD0CA2" w:rsidRDefault="00DD0CA2" w:rsidP="003260AA">
            <w:pPr>
              <w:spacing w:after="20"/>
              <w:ind w:left="488" w:hanging="431"/>
            </w:pPr>
            <w:r w:rsidRPr="00DD0CA2">
              <w:t>Финансовый лизинг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57"/>
            </w:pPr>
            <w:r w:rsidRPr="00DD0CA2">
              <w:t>Реинвестированная прибыль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257,4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35,6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22,1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57"/>
            </w:pPr>
            <w:r w:rsidRPr="00DD0CA2">
              <w:t>Прочие 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388,1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482,1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53,6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68,1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227"/>
            </w:pPr>
            <w:r w:rsidRPr="00DD0CA2">
              <w:t>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</w:pP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ind w:left="226" w:hanging="113"/>
              <w:rPr>
                <w:color w:val="000000"/>
              </w:rPr>
            </w:pPr>
            <w:r w:rsidRPr="00DD0CA2">
              <w:rPr>
                <w:color w:val="000000"/>
              </w:rPr>
              <w:t>кредиты, полученные от нерезидентов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before="100" w:beforeAutospacing="1" w:after="20"/>
              <w:jc w:val="right"/>
            </w:pPr>
            <w:r w:rsidRPr="00DD0CA2">
              <w:t>352,9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before="100" w:beforeAutospacing="1" w:after="20"/>
              <w:jc w:val="right"/>
            </w:pPr>
            <w:r w:rsidRPr="00DD0CA2">
              <w:t>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48,7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48,6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226" w:hanging="113"/>
              <w:rPr>
                <w:color w:val="000000"/>
              </w:rPr>
            </w:pPr>
            <w:r w:rsidRPr="00DD0CA2">
              <w:rPr>
                <w:color w:val="000000"/>
              </w:rPr>
              <w:t>торговые кредиты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33,9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4,7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19,1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DD0CA2" w:rsidRPr="00DD0CA2" w:rsidRDefault="00DD0CA2" w:rsidP="003260AA">
            <w:pPr>
              <w:spacing w:after="20"/>
              <w:ind w:left="226" w:hanging="113"/>
              <w:rPr>
                <w:color w:val="000000"/>
              </w:rPr>
            </w:pPr>
            <w:r w:rsidRPr="00DD0CA2">
              <w:rPr>
                <w:color w:val="000000"/>
              </w:rPr>
              <w:t>прочая кредиторская задолженность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1,3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0,2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0,4</w:t>
            </w:r>
          </w:p>
        </w:tc>
      </w:tr>
      <w:tr w:rsidR="00DD0CA2" w:rsidRPr="00DD0CA2" w:rsidTr="003260AA"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CA2" w:rsidRPr="00DD0CA2" w:rsidRDefault="00DD0CA2" w:rsidP="003260AA">
            <w:pPr>
              <w:spacing w:after="20"/>
              <w:ind w:left="226" w:hanging="113"/>
              <w:rPr>
                <w:color w:val="000000"/>
              </w:rPr>
            </w:pPr>
            <w:r w:rsidRPr="00DD0CA2">
              <w:rPr>
                <w:color w:val="000000"/>
              </w:rPr>
              <w:t>прочие обязательства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CA2" w:rsidRPr="00DD0CA2" w:rsidRDefault="00DD0CA2" w:rsidP="003260AA">
            <w:pPr>
              <w:spacing w:after="20"/>
              <w:jc w:val="right"/>
            </w:pPr>
            <w:r w:rsidRPr="00DD0CA2">
              <w:t>-</w:t>
            </w:r>
          </w:p>
        </w:tc>
      </w:tr>
    </w:tbl>
    <w:p w:rsidR="00DD0CA2" w:rsidRPr="00DD0CA2" w:rsidRDefault="00DD0CA2" w:rsidP="00DD0CA2">
      <w:pPr>
        <w:pStyle w:val="ac"/>
        <w:shd w:val="clear" w:color="auto" w:fill="FFFFFF"/>
        <w:spacing w:before="0" w:beforeAutospacing="0" w:after="60" w:afterAutospacing="0"/>
        <w:ind w:firstLine="709"/>
        <w:jc w:val="both"/>
        <w:rPr>
          <w:b/>
        </w:rPr>
      </w:pPr>
    </w:p>
    <w:p w:rsidR="00DD0CA2" w:rsidRPr="00DD0CA2" w:rsidRDefault="00DD0CA2" w:rsidP="00DD0CA2">
      <w:pPr>
        <w:ind w:firstLine="709"/>
        <w:jc w:val="both"/>
      </w:pPr>
      <w:r w:rsidRPr="00DD0CA2">
        <w:rPr>
          <w:b/>
        </w:rPr>
        <w:t>Снижение оттока</w:t>
      </w:r>
      <w:r w:rsidRPr="00DD0CA2">
        <w:t xml:space="preserve"> инвестиций в 2018 году наблюдалось из предприятий транспортной деятельности – в 2,2 раза, геологоразведки – на 29,7 </w:t>
      </w:r>
      <w:r>
        <w:t>%</w:t>
      </w:r>
      <w:r w:rsidRPr="00DD0CA2">
        <w:t xml:space="preserve">, обрабатывающих производств – на 12,0 </w:t>
      </w:r>
      <w:r>
        <w:t>%</w:t>
      </w:r>
      <w:r w:rsidRPr="00DD0CA2">
        <w:t xml:space="preserve"> и сферы финансового посредничества и страхования – на 4,1 </w:t>
      </w:r>
      <w:r>
        <w:t>%</w:t>
      </w:r>
      <w:r w:rsidRPr="00DD0CA2">
        <w:t xml:space="preserve">. </w:t>
      </w:r>
    </w:p>
    <w:p w:rsidR="00DD0CA2" w:rsidRDefault="00DD0CA2" w:rsidP="00DD0CA2">
      <w:pPr>
        <w:shd w:val="clear" w:color="auto" w:fill="FFFFFF"/>
        <w:spacing w:before="120" w:after="120"/>
        <w:ind w:left="1247" w:hanging="1247"/>
        <w:rPr>
          <w:b/>
          <w:bCs/>
        </w:rPr>
      </w:pPr>
    </w:p>
    <w:p w:rsidR="00DD0CA2" w:rsidRDefault="00DD0CA2" w:rsidP="00DD0CA2">
      <w:pPr>
        <w:shd w:val="clear" w:color="auto" w:fill="FFFFFF"/>
        <w:spacing w:before="120" w:after="120"/>
        <w:ind w:left="1247" w:hanging="1247"/>
        <w:rPr>
          <w:b/>
          <w:bCs/>
        </w:rPr>
      </w:pPr>
    </w:p>
    <w:p w:rsidR="00DD0CA2" w:rsidRDefault="00DD0CA2" w:rsidP="00DD0CA2">
      <w:pPr>
        <w:shd w:val="clear" w:color="auto" w:fill="FFFFFF"/>
        <w:spacing w:before="120" w:after="120"/>
        <w:ind w:left="1247" w:hanging="1247"/>
        <w:rPr>
          <w:b/>
          <w:bCs/>
        </w:rPr>
      </w:pPr>
    </w:p>
    <w:p w:rsidR="00176A1B" w:rsidRPr="00DD0CA2" w:rsidRDefault="00176A1B" w:rsidP="00176A1B">
      <w:pPr>
        <w:rPr>
          <w:b/>
        </w:rPr>
      </w:pPr>
    </w:p>
    <w:sectPr w:rsidR="00176A1B" w:rsidRPr="00DD0CA2" w:rsidSect="00254502">
      <w:pgSz w:w="11906" w:h="16838"/>
      <w:pgMar w:top="1418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4FB7"/>
    <w:multiLevelType w:val="hybridMultilevel"/>
    <w:tmpl w:val="08BE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51"/>
    <w:rsid w:val="00044425"/>
    <w:rsid w:val="00056941"/>
    <w:rsid w:val="00084292"/>
    <w:rsid w:val="000A7551"/>
    <w:rsid w:val="000A7EAE"/>
    <w:rsid w:val="000C5F7E"/>
    <w:rsid w:val="000F4125"/>
    <w:rsid w:val="001107A2"/>
    <w:rsid w:val="00162AC1"/>
    <w:rsid w:val="001757A8"/>
    <w:rsid w:val="00176A1B"/>
    <w:rsid w:val="00196637"/>
    <w:rsid w:val="001F6A98"/>
    <w:rsid w:val="002056EC"/>
    <w:rsid w:val="00211A13"/>
    <w:rsid w:val="002269C9"/>
    <w:rsid w:val="00254502"/>
    <w:rsid w:val="00285EC8"/>
    <w:rsid w:val="00306A6B"/>
    <w:rsid w:val="00334A67"/>
    <w:rsid w:val="00342211"/>
    <w:rsid w:val="00395CD7"/>
    <w:rsid w:val="003B1960"/>
    <w:rsid w:val="003C52E2"/>
    <w:rsid w:val="00401C41"/>
    <w:rsid w:val="00412793"/>
    <w:rsid w:val="00426A18"/>
    <w:rsid w:val="00436F1C"/>
    <w:rsid w:val="00442905"/>
    <w:rsid w:val="004B16C2"/>
    <w:rsid w:val="004F6126"/>
    <w:rsid w:val="00570DD4"/>
    <w:rsid w:val="005A3B15"/>
    <w:rsid w:val="005D4394"/>
    <w:rsid w:val="005F5144"/>
    <w:rsid w:val="00687E47"/>
    <w:rsid w:val="006971A8"/>
    <w:rsid w:val="006C5651"/>
    <w:rsid w:val="006C5AB7"/>
    <w:rsid w:val="00706118"/>
    <w:rsid w:val="00785C3F"/>
    <w:rsid w:val="007B146D"/>
    <w:rsid w:val="007C1A7C"/>
    <w:rsid w:val="00822E64"/>
    <w:rsid w:val="008417A1"/>
    <w:rsid w:val="008A261A"/>
    <w:rsid w:val="008F6099"/>
    <w:rsid w:val="009643D9"/>
    <w:rsid w:val="009F20F3"/>
    <w:rsid w:val="00A849F6"/>
    <w:rsid w:val="00AC4B58"/>
    <w:rsid w:val="00B155CA"/>
    <w:rsid w:val="00B33711"/>
    <w:rsid w:val="00BB482C"/>
    <w:rsid w:val="00BD7F5B"/>
    <w:rsid w:val="00C06F62"/>
    <w:rsid w:val="00C51400"/>
    <w:rsid w:val="00CA06B5"/>
    <w:rsid w:val="00CB7AE8"/>
    <w:rsid w:val="00CE3D13"/>
    <w:rsid w:val="00D21AAD"/>
    <w:rsid w:val="00D679B6"/>
    <w:rsid w:val="00D80138"/>
    <w:rsid w:val="00DA59C9"/>
    <w:rsid w:val="00DD0CA2"/>
    <w:rsid w:val="00E27DDA"/>
    <w:rsid w:val="00E46809"/>
    <w:rsid w:val="00E5471C"/>
    <w:rsid w:val="00F338B0"/>
    <w:rsid w:val="00F72113"/>
    <w:rsid w:val="00F732C2"/>
    <w:rsid w:val="00F95ED6"/>
    <w:rsid w:val="00FD082C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6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Grid 1 Accent 2"/>
    <w:basedOn w:val="a1"/>
    <w:uiPriority w:val="67"/>
    <w:rsid w:val="006971A8"/>
    <w:pPr>
      <w:jc w:val="both"/>
    </w:pPr>
    <w:rPr>
      <w:rFonts w:asciiTheme="minorHAnsi" w:eastAsiaTheme="minorEastAsia" w:hAnsiTheme="minorHAnsi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a3">
    <w:name w:val="List Paragraph"/>
    <w:basedOn w:val="a"/>
    <w:uiPriority w:val="34"/>
    <w:qFormat/>
    <w:rsid w:val="008417A1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334A67"/>
    <w:rPr>
      <w:b/>
      <w:bCs/>
      <w:caps/>
      <w:sz w:val="16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B48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2C"/>
    <w:rPr>
      <w:rFonts w:ascii="Tahoma" w:eastAsiaTheme="minorEastAsia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59"/>
    <w:rsid w:val="00D8013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176A1B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176A1B"/>
    <w:rPr>
      <w:rFonts w:eastAsia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0C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0CA2"/>
    <w:rPr>
      <w:rFonts w:eastAsia="Times New Roman" w:cs="Times New Roman"/>
      <w:szCs w:val="24"/>
      <w:lang w:eastAsia="ru-RU"/>
    </w:rPr>
  </w:style>
  <w:style w:type="paragraph" w:customStyle="1" w:styleId="aa">
    <w:name w:val="???????"/>
    <w:rsid w:val="00DD0CA2"/>
    <w:rPr>
      <w:rFonts w:eastAsia="Times New Roman" w:cs="Times New Roman"/>
      <w:sz w:val="20"/>
      <w:szCs w:val="20"/>
      <w:lang w:eastAsia="ru-RU"/>
    </w:rPr>
  </w:style>
  <w:style w:type="paragraph" w:customStyle="1" w:styleId="ab">
    <w:name w:val="Знак"/>
    <w:basedOn w:val="a"/>
    <w:rsid w:val="00DD0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DD0C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6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Grid 1 Accent 2"/>
    <w:basedOn w:val="a1"/>
    <w:uiPriority w:val="67"/>
    <w:rsid w:val="006971A8"/>
    <w:pPr>
      <w:jc w:val="both"/>
    </w:pPr>
    <w:rPr>
      <w:rFonts w:asciiTheme="minorHAnsi" w:eastAsiaTheme="minorEastAsia" w:hAnsiTheme="minorHAnsi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a3">
    <w:name w:val="List Paragraph"/>
    <w:basedOn w:val="a"/>
    <w:uiPriority w:val="34"/>
    <w:qFormat/>
    <w:rsid w:val="008417A1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334A67"/>
    <w:rPr>
      <w:b/>
      <w:bCs/>
      <w:caps/>
      <w:sz w:val="16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B48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2C"/>
    <w:rPr>
      <w:rFonts w:ascii="Tahoma" w:eastAsiaTheme="minorEastAsia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59"/>
    <w:rsid w:val="00D8013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176A1B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176A1B"/>
    <w:rPr>
      <w:rFonts w:eastAsia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0C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0CA2"/>
    <w:rPr>
      <w:rFonts w:eastAsia="Times New Roman" w:cs="Times New Roman"/>
      <w:szCs w:val="24"/>
      <w:lang w:eastAsia="ru-RU"/>
    </w:rPr>
  </w:style>
  <w:style w:type="paragraph" w:customStyle="1" w:styleId="aa">
    <w:name w:val="???????"/>
    <w:rsid w:val="00DD0CA2"/>
    <w:rPr>
      <w:rFonts w:eastAsia="Times New Roman" w:cs="Times New Roman"/>
      <w:sz w:val="20"/>
      <w:szCs w:val="20"/>
      <w:lang w:eastAsia="ru-RU"/>
    </w:rPr>
  </w:style>
  <w:style w:type="paragraph" w:customStyle="1" w:styleId="ab">
    <w:name w:val="Знак"/>
    <w:basedOn w:val="a"/>
    <w:rsid w:val="00DD0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DD0C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696947054506247E-2"/>
          <c:y val="3.3541039020044648E-2"/>
          <c:w val="0.90116824592841416"/>
          <c:h val="0.836398647435159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Приток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849</c:v>
                </c:pt>
                <c:pt idx="1">
                  <c:v>591</c:v>
                </c:pt>
                <c:pt idx="2">
                  <c:v>964</c:v>
                </c:pt>
                <c:pt idx="3">
                  <c:v>727</c:v>
                </c:pt>
                <c:pt idx="4">
                  <c:v>1573</c:v>
                </c:pt>
                <c:pt idx="5">
                  <c:v>814</c:v>
                </c:pt>
                <c:pt idx="6">
                  <c:v>616</c:v>
                </c:pt>
                <c:pt idx="7" formatCode="#,##0.00">
                  <c:v>851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77-4F54-8169-BF9C6FA1E5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Сальдо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694</c:v>
                </c:pt>
                <c:pt idx="1">
                  <c:v>293</c:v>
                </c:pt>
                <c:pt idx="2">
                  <c:v>758</c:v>
                </c:pt>
                <c:pt idx="3">
                  <c:v>248</c:v>
                </c:pt>
                <c:pt idx="4">
                  <c:v>1141</c:v>
                </c:pt>
                <c:pt idx="5">
                  <c:v>616</c:v>
                </c:pt>
                <c:pt idx="6">
                  <c:v>-107</c:v>
                </c:pt>
                <c:pt idx="7">
                  <c:v>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77-4F54-8169-BF9C6FA1E5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588672"/>
        <c:axId val="46590208"/>
      </c:barChart>
      <c:catAx>
        <c:axId val="4658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590208"/>
        <c:crosses val="autoZero"/>
        <c:auto val="1"/>
        <c:lblAlgn val="ctr"/>
        <c:lblOffset val="100"/>
        <c:noMultiLvlLbl val="0"/>
      </c:catAx>
      <c:valAx>
        <c:axId val="4659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588672"/>
        <c:crosses val="autoZero"/>
        <c:crossBetween val="between"/>
      </c:valAx>
      <c:spPr>
        <a:solidFill>
          <a:sysClr val="window" lastClr="FFFFFF"/>
        </a:solidFill>
      </c:spPr>
    </c:plotArea>
    <c:legend>
      <c:legendPos val="r"/>
      <c:layout>
        <c:manualLayout>
          <c:xMode val="edge"/>
          <c:yMode val="edge"/>
          <c:x val="0.12869252997070663"/>
          <c:y val="0.91665146240424122"/>
          <c:w val="0.85871084632119321"/>
          <c:h val="6.9984645082560928E-2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620A-4C8B-4732-B410-F86B3BC6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Санжар Болотов</dc:creator>
  <cp:keywords/>
  <dc:description/>
  <cp:lastModifiedBy>Альбина Суйналиева</cp:lastModifiedBy>
  <cp:revision>29</cp:revision>
  <cp:lastPrinted>2019-04-06T11:00:00Z</cp:lastPrinted>
  <dcterms:created xsi:type="dcterms:W3CDTF">2018-07-24T08:31:00Z</dcterms:created>
  <dcterms:modified xsi:type="dcterms:W3CDTF">2019-07-03T03:29:00Z</dcterms:modified>
</cp:coreProperties>
</file>