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02A25" w:rsidRDefault="008344DB" w:rsidP="008344DB">
      <w:pPr>
        <w:jc w:val="center"/>
        <w:rPr>
          <w:rFonts w:cs="Times New Roman"/>
          <w:b/>
          <w:bCs/>
          <w:sz w:val="24"/>
          <w:szCs w:val="24"/>
        </w:rPr>
      </w:pPr>
      <w:bookmarkStart w:id="0" w:name="_GoBack"/>
      <w:bookmarkEnd w:id="0"/>
    </w:p>
    <w:p w:rsidR="008344DB" w:rsidRPr="00A02A25" w:rsidRDefault="008344DB" w:rsidP="008344DB">
      <w:pPr>
        <w:jc w:val="center"/>
        <w:rPr>
          <w:rFonts w:cs="Times New Roman"/>
          <w:b/>
          <w:bCs/>
          <w:sz w:val="24"/>
          <w:szCs w:val="24"/>
        </w:rPr>
      </w:pPr>
    </w:p>
    <w:p w:rsidR="008344DB" w:rsidRPr="00FF78FF" w:rsidRDefault="008344DB" w:rsidP="008344DB">
      <w:pPr>
        <w:jc w:val="center"/>
        <w:rPr>
          <w:rFonts w:cs="Times New Roman"/>
          <w:b/>
          <w:bCs/>
          <w:sz w:val="24"/>
          <w:szCs w:val="24"/>
        </w:rPr>
      </w:pPr>
      <w:r w:rsidRPr="00FF78FF">
        <w:rPr>
          <w:rFonts w:cs="Times New Roman"/>
          <w:b/>
          <w:bCs/>
          <w:sz w:val="24"/>
          <w:szCs w:val="24"/>
        </w:rPr>
        <w:t xml:space="preserve">Информация о ходе реализации Детализированного плана мероприятий по демонтажу системной коррупции в </w:t>
      </w:r>
    </w:p>
    <w:p w:rsidR="008344DB" w:rsidRPr="00FF78FF" w:rsidRDefault="008344DB" w:rsidP="008344DB">
      <w:pPr>
        <w:jc w:val="center"/>
        <w:rPr>
          <w:rFonts w:cs="Times New Roman"/>
          <w:b/>
          <w:bCs/>
          <w:sz w:val="24"/>
          <w:szCs w:val="24"/>
        </w:rPr>
      </w:pPr>
      <w:r w:rsidRPr="00FF78FF">
        <w:rPr>
          <w:rFonts w:cs="Times New Roman"/>
          <w:b/>
          <w:bCs/>
          <w:sz w:val="24"/>
          <w:szCs w:val="24"/>
        </w:rPr>
        <w:t xml:space="preserve">Министерстве экономики Кыргызской Республики </w:t>
      </w:r>
      <w:r w:rsidR="00B05B1C">
        <w:rPr>
          <w:rFonts w:cs="Times New Roman"/>
          <w:b/>
          <w:bCs/>
          <w:sz w:val="24"/>
          <w:szCs w:val="24"/>
        </w:rPr>
        <w:t>за январь</w:t>
      </w:r>
      <w:r w:rsidR="00FF78FF">
        <w:rPr>
          <w:rFonts w:cs="Times New Roman"/>
          <w:b/>
          <w:bCs/>
          <w:sz w:val="24"/>
          <w:szCs w:val="24"/>
        </w:rPr>
        <w:t xml:space="preserve"> 2019</w:t>
      </w:r>
      <w:r w:rsidRPr="00FF78FF">
        <w:rPr>
          <w:rFonts w:cs="Times New Roman"/>
          <w:b/>
          <w:bCs/>
          <w:sz w:val="24"/>
          <w:szCs w:val="24"/>
        </w:rPr>
        <w:t xml:space="preserve"> год</w:t>
      </w:r>
      <w:r w:rsidR="006F5E95" w:rsidRPr="00FF78FF">
        <w:rPr>
          <w:rFonts w:cs="Times New Roman"/>
          <w:b/>
          <w:bCs/>
          <w:sz w:val="24"/>
          <w:szCs w:val="24"/>
        </w:rPr>
        <w:t>а</w:t>
      </w:r>
    </w:p>
    <w:p w:rsidR="008344DB" w:rsidRPr="00FF78FF" w:rsidRDefault="008344DB" w:rsidP="008344DB">
      <w:pPr>
        <w:jc w:val="center"/>
        <w:rPr>
          <w:rFonts w:cs="Times New Roman"/>
          <w:b/>
          <w:bCs/>
          <w:sz w:val="24"/>
          <w:szCs w:val="24"/>
        </w:rPr>
      </w:pPr>
    </w:p>
    <w:p w:rsidR="008344DB" w:rsidRPr="00FF78FF" w:rsidRDefault="008344DB" w:rsidP="008344DB">
      <w:pPr>
        <w:jc w:val="center"/>
        <w:rPr>
          <w:rFonts w:cs="Times New Roman"/>
          <w:b/>
          <w:bCs/>
          <w:sz w:val="24"/>
          <w:szCs w:val="24"/>
        </w:rPr>
      </w:pPr>
    </w:p>
    <w:tbl>
      <w:tblPr>
        <w:tblW w:w="1527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tblGrid>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FF78FF"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FF78FF" w:rsidRDefault="008344DB" w:rsidP="00735E03">
            <w:pPr>
              <w:ind w:firstLine="0"/>
              <w:contextualSpacing/>
              <w:jc w:val="center"/>
              <w:rPr>
                <w:rFonts w:cs="Times New Roman"/>
                <w:bCs/>
                <w:sz w:val="22"/>
              </w:rPr>
            </w:pPr>
            <w:r w:rsidRPr="00FF78FF">
              <w:rPr>
                <w:rFonts w:cs="Times New Roman"/>
                <w:b/>
                <w:bCs/>
                <w:sz w:val="22"/>
              </w:rPr>
              <w:t>Наименование мероприятия</w:t>
            </w:r>
          </w:p>
        </w:tc>
        <w:tc>
          <w:tcPr>
            <w:tcW w:w="1247" w:type="dxa"/>
            <w:gridSpan w:val="2"/>
            <w:vAlign w:val="center"/>
          </w:tcPr>
          <w:p w:rsidR="008344DB" w:rsidRPr="00FF78FF" w:rsidRDefault="008344DB" w:rsidP="00823BF2">
            <w:pPr>
              <w:ind w:left="-66" w:right="-80" w:firstLine="0"/>
              <w:contextualSpacing/>
              <w:jc w:val="center"/>
              <w:rPr>
                <w:rFonts w:cs="Times New Roman"/>
                <w:b/>
                <w:bCs/>
                <w:sz w:val="22"/>
              </w:rPr>
            </w:pPr>
            <w:r w:rsidRPr="00FF78FF">
              <w:rPr>
                <w:rFonts w:cs="Times New Roman"/>
                <w:b/>
                <w:bCs/>
                <w:sz w:val="22"/>
              </w:rPr>
              <w:t>Исполн</w:t>
            </w:r>
            <w:r w:rsidR="00823BF2" w:rsidRPr="00FF78FF">
              <w:rPr>
                <w:rFonts w:cs="Times New Roman"/>
                <w:b/>
                <w:bCs/>
                <w:sz w:val="22"/>
              </w:rPr>
              <w:t>-</w:t>
            </w:r>
            <w:r w:rsidRPr="00FF78FF">
              <w:rPr>
                <w:rFonts w:cs="Times New Roman"/>
                <w:b/>
                <w:bCs/>
                <w:sz w:val="22"/>
              </w:rPr>
              <w:t>ль</w:t>
            </w:r>
          </w:p>
        </w:tc>
        <w:tc>
          <w:tcPr>
            <w:tcW w:w="1387" w:type="dxa"/>
            <w:vAlign w:val="center"/>
          </w:tcPr>
          <w:p w:rsidR="008344DB" w:rsidRPr="00FF78FF" w:rsidRDefault="008344DB" w:rsidP="00735E03">
            <w:pPr>
              <w:ind w:right="-52" w:firstLine="0"/>
              <w:contextualSpacing/>
              <w:jc w:val="center"/>
              <w:rPr>
                <w:rFonts w:cs="Times New Roman"/>
                <w:bCs/>
                <w:sz w:val="22"/>
              </w:rPr>
            </w:pPr>
            <w:r w:rsidRPr="00FF78FF">
              <w:rPr>
                <w:rFonts w:cs="Times New Roman"/>
                <w:b/>
                <w:bCs/>
                <w:sz w:val="22"/>
              </w:rPr>
              <w:t>Срок реализации</w:t>
            </w:r>
          </w:p>
        </w:tc>
        <w:tc>
          <w:tcPr>
            <w:tcW w:w="3094" w:type="dxa"/>
            <w:gridSpan w:val="2"/>
            <w:vAlign w:val="center"/>
          </w:tcPr>
          <w:p w:rsidR="008344DB" w:rsidRPr="00FF78FF" w:rsidRDefault="008344DB" w:rsidP="00735E03">
            <w:pPr>
              <w:ind w:firstLine="0"/>
              <w:contextualSpacing/>
              <w:jc w:val="center"/>
              <w:rPr>
                <w:rFonts w:cs="Times New Roman"/>
                <w:bCs/>
                <w:sz w:val="22"/>
              </w:rPr>
            </w:pPr>
            <w:r w:rsidRPr="00FF78FF">
              <w:rPr>
                <w:rFonts w:cs="Times New Roman"/>
                <w:b/>
                <w:bCs/>
                <w:sz w:val="22"/>
              </w:rPr>
              <w:t>Индикатор реализации</w:t>
            </w:r>
          </w:p>
        </w:tc>
        <w:tc>
          <w:tcPr>
            <w:tcW w:w="4548" w:type="dxa"/>
            <w:vAlign w:val="center"/>
          </w:tcPr>
          <w:p w:rsidR="008344DB" w:rsidRPr="00FF78FF" w:rsidRDefault="008344DB" w:rsidP="00735E03">
            <w:pPr>
              <w:ind w:firstLine="0"/>
              <w:contextualSpacing/>
              <w:jc w:val="center"/>
              <w:rPr>
                <w:rFonts w:cs="Times New Roman"/>
                <w:b/>
                <w:bCs/>
                <w:sz w:val="22"/>
              </w:rPr>
            </w:pPr>
            <w:r w:rsidRPr="00FF78FF">
              <w:rPr>
                <w:rFonts w:cs="Times New Roman"/>
                <w:b/>
                <w:bCs/>
                <w:sz w:val="22"/>
              </w:rPr>
              <w:t>Ожидаемые результаты</w:t>
            </w:r>
          </w:p>
        </w:tc>
      </w:tr>
      <w:tr w:rsidR="008344DB" w:rsidRPr="00FF78FF" w:rsidTr="00823BF2">
        <w:trPr>
          <w:trHeight w:val="353"/>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1. Государственные закупки консультационных услуг</w:t>
            </w:r>
          </w:p>
        </w:tc>
      </w:tr>
      <w:tr w:rsidR="008344DB" w:rsidRPr="00FF78FF" w:rsidTr="00823BF2">
        <w:trPr>
          <w:trHeight w:val="324"/>
        </w:trPr>
        <w:tc>
          <w:tcPr>
            <w:tcW w:w="15274" w:type="dxa"/>
            <w:gridSpan w:val="11"/>
            <w:shd w:val="clear" w:color="auto" w:fill="8DB3E2" w:themeFill="text2" w:themeFillTint="66"/>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включить в законодательство КР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FF78FF" w:rsidRDefault="008344DB" w:rsidP="00735E03">
            <w:pPr>
              <w:ind w:left="-66" w:right="-80" w:firstLine="0"/>
              <w:contextualSpacing/>
              <w:jc w:val="center"/>
              <w:rPr>
                <w:rFonts w:cs="Times New Roman"/>
                <w:bCs/>
                <w:sz w:val="24"/>
                <w:szCs w:val="24"/>
              </w:rPr>
            </w:pPr>
            <w:r w:rsidRPr="00FF78FF">
              <w:rPr>
                <w:rFonts w:cs="Times New Roman"/>
                <w:bCs/>
                <w:sz w:val="24"/>
                <w:szCs w:val="24"/>
              </w:rPr>
              <w:t>МФ, МЭ</w:t>
            </w:r>
          </w:p>
        </w:tc>
        <w:tc>
          <w:tcPr>
            <w:tcW w:w="1387" w:type="dxa"/>
          </w:tcPr>
          <w:p w:rsidR="008344DB" w:rsidRPr="00FF78FF" w:rsidRDefault="008344DB" w:rsidP="00735E03">
            <w:pPr>
              <w:ind w:right="-52" w:firstLine="0"/>
              <w:contextualSpacing/>
              <w:jc w:val="center"/>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В законодательство КР включен порядок коллегиального принятия решений при рассмотрении акта выполненных работ/услуг.</w:t>
            </w:r>
          </w:p>
        </w:tc>
      </w:tr>
      <w:tr w:rsidR="008344DB" w:rsidRPr="00FF78FF" w:rsidTr="00823BF2">
        <w:tc>
          <w:tcPr>
            <w:tcW w:w="15274" w:type="dxa"/>
            <w:gridSpan w:val="11"/>
          </w:tcPr>
          <w:p w:rsidR="008344DB" w:rsidRPr="0084547A" w:rsidRDefault="008344DB" w:rsidP="008344DB">
            <w:pPr>
              <w:ind w:firstLine="0"/>
              <w:contextualSpacing/>
              <w:jc w:val="left"/>
              <w:rPr>
                <w:rFonts w:cs="Times New Roman"/>
                <w:b/>
                <w:bCs/>
                <w:sz w:val="24"/>
                <w:szCs w:val="24"/>
                <w:u w:val="single"/>
              </w:rPr>
            </w:pPr>
            <w:r w:rsidRPr="0084547A">
              <w:rPr>
                <w:rFonts w:cs="Times New Roman"/>
                <w:b/>
                <w:bCs/>
                <w:sz w:val="24"/>
                <w:szCs w:val="24"/>
                <w:u w:val="single"/>
              </w:rPr>
              <w:t>Минфин</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В соответствии со статьей 51 Закона КР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344DB" w:rsidRDefault="008344DB" w:rsidP="008344DB">
            <w:pPr>
              <w:ind w:firstLine="0"/>
              <w:contextualSpacing/>
              <w:jc w:val="left"/>
              <w:rPr>
                <w:rFonts w:cs="Times New Roman"/>
                <w:bCs/>
                <w:sz w:val="24"/>
                <w:szCs w:val="24"/>
              </w:rPr>
            </w:pPr>
            <w:r w:rsidRPr="00FF78FF">
              <w:rPr>
                <w:rFonts w:cs="Times New Roman"/>
                <w:bCs/>
                <w:sz w:val="24"/>
                <w:szCs w:val="24"/>
              </w:rPr>
              <w:t>Также отмечаем, что в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p w:rsidR="008870BA" w:rsidRPr="0084547A" w:rsidRDefault="0084547A" w:rsidP="008344DB">
            <w:pPr>
              <w:ind w:firstLine="0"/>
              <w:contextualSpacing/>
              <w:jc w:val="left"/>
              <w:rPr>
                <w:rFonts w:cs="Times New Roman"/>
                <w:b/>
                <w:bCs/>
                <w:sz w:val="24"/>
                <w:szCs w:val="24"/>
                <w:u w:val="single"/>
              </w:rPr>
            </w:pPr>
            <w:r w:rsidRPr="0084547A">
              <w:rPr>
                <w:rFonts w:cs="Times New Roman"/>
                <w:b/>
                <w:bCs/>
                <w:sz w:val="24"/>
                <w:szCs w:val="24"/>
                <w:u w:val="single"/>
              </w:rPr>
              <w:t xml:space="preserve">Минэконом </w:t>
            </w:r>
          </w:p>
          <w:p w:rsidR="0084547A" w:rsidRPr="0084547A" w:rsidRDefault="0084547A" w:rsidP="0084547A">
            <w:pPr>
              <w:ind w:firstLine="0"/>
              <w:contextualSpacing/>
              <w:jc w:val="left"/>
              <w:rPr>
                <w:rFonts w:cs="Times New Roman"/>
                <w:bCs/>
                <w:sz w:val="24"/>
                <w:szCs w:val="24"/>
                <w:lang w:val="x-none"/>
              </w:rPr>
            </w:pPr>
            <w:r>
              <w:rPr>
                <w:rFonts w:cs="Times New Roman"/>
                <w:bCs/>
                <w:sz w:val="24"/>
                <w:szCs w:val="24"/>
              </w:rPr>
              <w:t>По итогам проведенного совещания с участием представителя Минфина было решено н</w:t>
            </w:r>
            <w:r w:rsidRPr="0084547A">
              <w:rPr>
                <w:rFonts w:cs="Times New Roman"/>
                <w:bCs/>
                <w:sz w:val="24"/>
                <w:szCs w:val="24"/>
                <w:lang w:val="x-none"/>
              </w:rPr>
              <w:t xml:space="preserve">аправить в Секретариат Совета безопасности КР </w:t>
            </w:r>
            <w:r>
              <w:rPr>
                <w:rFonts w:cs="Times New Roman"/>
                <w:bCs/>
                <w:sz w:val="24"/>
                <w:szCs w:val="24"/>
              </w:rPr>
              <w:t xml:space="preserve">письмо </w:t>
            </w:r>
            <w:r>
              <w:rPr>
                <w:rFonts w:cs="Times New Roman"/>
                <w:bCs/>
                <w:sz w:val="24"/>
                <w:szCs w:val="24"/>
                <w:lang w:val="x-none"/>
              </w:rPr>
              <w:t>с разъяснениями</w:t>
            </w:r>
            <w:r w:rsidRPr="0084547A">
              <w:rPr>
                <w:rFonts w:cs="Times New Roman"/>
                <w:bCs/>
                <w:sz w:val="24"/>
                <w:szCs w:val="24"/>
                <w:lang w:val="x-none"/>
              </w:rPr>
              <w:t xml:space="preserve"> о допущенных неточностях при формировании объявления о закупке консультационных услуг. По данному вопросу, после консультаций с представителями Секретариата Совета безопасности КР, будет направлено дополнительное письмо.</w:t>
            </w:r>
          </w:p>
        </w:tc>
      </w:tr>
      <w:tr w:rsidR="008344DB" w:rsidRPr="00FF78FF"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2: Нарушение условий договора государственной закупки по оплате услуг</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и включить в законодательство КР порядок привлечения к ответственности </w:t>
            </w:r>
            <w:r w:rsidRPr="00FF78FF">
              <w:rPr>
                <w:rFonts w:cs="Times New Roman"/>
                <w:bCs/>
                <w:sz w:val="24"/>
                <w:szCs w:val="24"/>
              </w:rPr>
              <w:lastRenderedPageBreak/>
              <w:t>должностных лиц за нарушение условий заключенного договора о закупках</w:t>
            </w:r>
          </w:p>
        </w:tc>
        <w:tc>
          <w:tcPr>
            <w:tcW w:w="1247" w:type="dxa"/>
            <w:gridSpan w:val="2"/>
          </w:tcPr>
          <w:p w:rsidR="008344DB" w:rsidRPr="00FF78FF" w:rsidRDefault="008344DB" w:rsidP="00735E03">
            <w:pPr>
              <w:ind w:left="-66" w:right="-80" w:firstLine="0"/>
              <w:contextualSpacing/>
              <w:jc w:val="left"/>
              <w:rPr>
                <w:rFonts w:cs="Times New Roman"/>
                <w:bCs/>
                <w:sz w:val="24"/>
                <w:szCs w:val="24"/>
              </w:rPr>
            </w:pPr>
            <w:r w:rsidRPr="00FF78FF">
              <w:rPr>
                <w:rFonts w:cs="Times New Roman"/>
                <w:bCs/>
                <w:sz w:val="24"/>
                <w:szCs w:val="24"/>
              </w:rPr>
              <w:lastRenderedPageBreak/>
              <w:t>МФ, МЭ</w:t>
            </w:r>
          </w:p>
        </w:tc>
        <w:tc>
          <w:tcPr>
            <w:tcW w:w="1387" w:type="dxa"/>
          </w:tcPr>
          <w:p w:rsidR="008344DB" w:rsidRPr="00FF78FF" w:rsidRDefault="008344DB" w:rsidP="00735E03">
            <w:pPr>
              <w:ind w:right="-52" w:firstLine="0"/>
              <w:contextualSpacing/>
              <w:jc w:val="left"/>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Разработка и утверждение приказом МФ КР порядка заключения и исполнения </w:t>
            </w:r>
            <w:r w:rsidRPr="00FF78FF">
              <w:rPr>
                <w:rFonts w:cs="Times New Roman"/>
                <w:bCs/>
                <w:sz w:val="24"/>
                <w:szCs w:val="24"/>
              </w:rPr>
              <w:lastRenderedPageBreak/>
              <w:t>договора о закупках</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lastRenderedPageBreak/>
              <w:t xml:space="preserve">Минимизирована возможность умышленного затягивания процесса оплаты за поставленные товары или </w:t>
            </w:r>
            <w:r w:rsidRPr="00FF78FF">
              <w:rPr>
                <w:rFonts w:cs="Times New Roman"/>
                <w:bCs/>
                <w:sz w:val="24"/>
                <w:szCs w:val="24"/>
              </w:rPr>
              <w:lastRenderedPageBreak/>
              <w:t>предоставленные работы/услуги</w:t>
            </w:r>
          </w:p>
        </w:tc>
      </w:tr>
      <w:tr w:rsidR="008344DB" w:rsidRPr="00FF78FF" w:rsidTr="00823BF2">
        <w:tc>
          <w:tcPr>
            <w:tcW w:w="15274" w:type="dxa"/>
            <w:gridSpan w:val="11"/>
          </w:tcPr>
          <w:p w:rsidR="008344DB" w:rsidRPr="0084547A" w:rsidRDefault="008344DB" w:rsidP="008344DB">
            <w:pPr>
              <w:ind w:firstLine="0"/>
              <w:jc w:val="left"/>
              <w:rPr>
                <w:rFonts w:eastAsia="Calibri" w:cs="Times New Roman"/>
                <w:b/>
                <w:color w:val="000000"/>
                <w:sz w:val="24"/>
                <w:szCs w:val="24"/>
                <w:u w:val="single"/>
                <w:shd w:val="clear" w:color="auto" w:fill="FFFFFF"/>
              </w:rPr>
            </w:pPr>
            <w:r w:rsidRPr="0084547A">
              <w:rPr>
                <w:rFonts w:eastAsia="Calibri" w:cs="Times New Roman"/>
                <w:b/>
                <w:color w:val="000000"/>
                <w:sz w:val="24"/>
                <w:szCs w:val="24"/>
                <w:u w:val="single"/>
                <w:shd w:val="clear" w:color="auto" w:fill="FFFFFF"/>
              </w:rPr>
              <w:lastRenderedPageBreak/>
              <w:t>Минфин</w:t>
            </w:r>
          </w:p>
          <w:p w:rsidR="008344DB" w:rsidRPr="00FF78FF" w:rsidRDefault="008344DB" w:rsidP="008344DB">
            <w:pPr>
              <w:ind w:firstLine="0"/>
              <w:jc w:val="left"/>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344DB" w:rsidRPr="008870BA" w:rsidRDefault="008344DB" w:rsidP="008344DB">
            <w:pPr>
              <w:ind w:firstLine="0"/>
              <w:contextualSpacing/>
              <w:jc w:val="left"/>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w:t>
            </w:r>
            <w:r w:rsidRPr="008870BA">
              <w:rPr>
                <w:rFonts w:eastAsia="Calibri" w:cs="Times New Roman"/>
                <w:color w:val="000000"/>
                <w:sz w:val="24"/>
                <w:szCs w:val="24"/>
                <w:shd w:val="clear" w:color="auto" w:fill="FFFFFF"/>
              </w:rPr>
              <w:t>Министерство финансов считает целесообразным исключить пункты 1 и 2 Плана МЭКР.</w:t>
            </w:r>
          </w:p>
          <w:p w:rsidR="008870BA" w:rsidRPr="008870BA" w:rsidRDefault="008870BA" w:rsidP="008344DB">
            <w:pPr>
              <w:ind w:firstLine="0"/>
              <w:contextualSpacing/>
              <w:jc w:val="left"/>
              <w:rPr>
                <w:rFonts w:eastAsia="Calibri" w:cs="Times New Roman"/>
                <w:b/>
                <w:color w:val="000000"/>
                <w:sz w:val="24"/>
                <w:szCs w:val="24"/>
                <w:u w:val="single"/>
                <w:shd w:val="clear" w:color="auto" w:fill="FFFFFF"/>
              </w:rPr>
            </w:pPr>
            <w:r w:rsidRPr="008870BA">
              <w:rPr>
                <w:rFonts w:eastAsia="Calibri" w:cs="Times New Roman"/>
                <w:b/>
                <w:color w:val="000000"/>
                <w:sz w:val="24"/>
                <w:szCs w:val="24"/>
                <w:u w:val="single"/>
                <w:shd w:val="clear" w:color="auto" w:fill="FFFFFF"/>
              </w:rPr>
              <w:t>Минэконом</w:t>
            </w:r>
          </w:p>
          <w:p w:rsidR="008870BA" w:rsidRPr="00FF78FF" w:rsidRDefault="008870BA" w:rsidP="008870BA">
            <w:pPr>
              <w:ind w:firstLine="0"/>
              <w:contextualSpacing/>
              <w:jc w:val="left"/>
              <w:rPr>
                <w:rFonts w:cs="Times New Roman"/>
                <w:bCs/>
                <w:sz w:val="24"/>
                <w:szCs w:val="24"/>
              </w:rPr>
            </w:pPr>
            <w:r w:rsidRPr="008870BA">
              <w:rPr>
                <w:rFonts w:cs="Times New Roman"/>
                <w:bCs/>
                <w:sz w:val="24"/>
                <w:szCs w:val="24"/>
              </w:rPr>
              <w:t>П</w:t>
            </w:r>
            <w:r>
              <w:rPr>
                <w:rFonts w:cs="Times New Roman"/>
                <w:bCs/>
                <w:sz w:val="24"/>
                <w:szCs w:val="24"/>
              </w:rPr>
              <w:t xml:space="preserve">о итогам проведенного совещания с участием ответственного за портал представителя </w:t>
            </w:r>
            <w:r w:rsidRPr="008870BA">
              <w:rPr>
                <w:rFonts w:cs="Times New Roman"/>
                <w:bCs/>
                <w:sz w:val="24"/>
                <w:szCs w:val="24"/>
              </w:rPr>
              <w:t xml:space="preserve"> ДГЗ МФ КР Кудайбергенов</w:t>
            </w:r>
            <w:r>
              <w:rPr>
                <w:rFonts w:cs="Times New Roman"/>
                <w:bCs/>
                <w:sz w:val="24"/>
                <w:szCs w:val="24"/>
              </w:rPr>
              <w:t>а</w:t>
            </w:r>
            <w:r w:rsidRPr="008870BA">
              <w:rPr>
                <w:rFonts w:cs="Times New Roman"/>
                <w:bCs/>
                <w:sz w:val="24"/>
                <w:szCs w:val="24"/>
              </w:rPr>
              <w:t xml:space="preserve"> Э.</w:t>
            </w:r>
            <w:r>
              <w:rPr>
                <w:rFonts w:cs="Times New Roman"/>
                <w:bCs/>
                <w:sz w:val="24"/>
                <w:szCs w:val="24"/>
              </w:rPr>
              <w:t xml:space="preserve"> было принято решение, что Минфин предоставит </w:t>
            </w:r>
            <w:r w:rsidRPr="008870BA">
              <w:rPr>
                <w:rFonts w:cs="Times New Roman"/>
                <w:bCs/>
                <w:sz w:val="24"/>
                <w:szCs w:val="24"/>
              </w:rPr>
              <w:t>сведения о внедрении с начала 2019 года модуля на портале электронных государственных закупок по оплате услуг согласно условиям договора государственных закупок.</w:t>
            </w:r>
            <w:r>
              <w:rPr>
                <w:rFonts w:cs="Times New Roman"/>
                <w:bCs/>
                <w:sz w:val="24"/>
                <w:szCs w:val="24"/>
              </w:rPr>
              <w:t xml:space="preserve"> </w:t>
            </w:r>
          </w:p>
        </w:tc>
      </w:tr>
      <w:tr w:rsidR="008344DB" w:rsidRPr="00FF78FF"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F78FF" w:rsidRDefault="002D05CB" w:rsidP="002D05CB">
            <w:pPr>
              <w:ind w:left="-66" w:right="-66" w:firstLine="0"/>
              <w:contextualSpacing/>
              <w:jc w:val="center"/>
              <w:rPr>
                <w:rFonts w:cs="Times New Roman"/>
                <w:b/>
                <w:sz w:val="24"/>
                <w:szCs w:val="24"/>
              </w:rPr>
            </w:pPr>
            <w:r>
              <w:rPr>
                <w:rFonts w:cs="Times New Roman"/>
                <w:b/>
                <w:sz w:val="24"/>
                <w:szCs w:val="24"/>
              </w:rPr>
              <w:t>Коррупционный риск № 3</w:t>
            </w:r>
            <w:r w:rsidR="008344DB" w:rsidRPr="00FF78FF">
              <w:rPr>
                <w:rFonts w:cs="Times New Roman"/>
                <w:b/>
                <w:sz w:val="24"/>
                <w:szCs w:val="24"/>
              </w:rPr>
              <w:t xml:space="preserve">: </w:t>
            </w:r>
            <w:r>
              <w:rPr>
                <w:rFonts w:cs="Times New Roman"/>
                <w:b/>
                <w:sz w:val="24"/>
                <w:szCs w:val="24"/>
              </w:rPr>
              <w:t>Мнимая конкуренция</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FF78FF" w:rsidRDefault="008344DB" w:rsidP="00735E03">
            <w:pPr>
              <w:ind w:left="-66" w:right="-80" w:firstLine="0"/>
              <w:contextualSpacing/>
              <w:jc w:val="left"/>
              <w:rPr>
                <w:rFonts w:cs="Times New Roman"/>
                <w:bCs/>
                <w:sz w:val="24"/>
                <w:szCs w:val="24"/>
              </w:rPr>
            </w:pPr>
            <w:r w:rsidRPr="00FF78FF">
              <w:rPr>
                <w:rFonts w:cs="Times New Roman"/>
                <w:bCs/>
                <w:sz w:val="24"/>
                <w:szCs w:val="24"/>
              </w:rPr>
              <w:t>МФ, МЭ</w:t>
            </w:r>
          </w:p>
        </w:tc>
        <w:tc>
          <w:tcPr>
            <w:tcW w:w="1387" w:type="dxa"/>
          </w:tcPr>
          <w:p w:rsidR="008344DB" w:rsidRPr="00FF78FF" w:rsidRDefault="008344DB" w:rsidP="00735E03">
            <w:pPr>
              <w:ind w:right="-52" w:firstLine="0"/>
              <w:contextualSpacing/>
              <w:jc w:val="left"/>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Разработка и утверждение приказа МФ КР</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Минимизирована возможность заключения договора о закупке с аффилированными лицами.</w:t>
            </w:r>
          </w:p>
        </w:tc>
      </w:tr>
      <w:tr w:rsidR="008344DB" w:rsidRPr="00FF78FF" w:rsidTr="00823BF2">
        <w:tc>
          <w:tcPr>
            <w:tcW w:w="15274" w:type="dxa"/>
            <w:gridSpan w:val="11"/>
          </w:tcPr>
          <w:p w:rsidR="008344DB" w:rsidRPr="0084547A" w:rsidRDefault="008344DB" w:rsidP="008344DB">
            <w:pPr>
              <w:ind w:firstLine="0"/>
              <w:rPr>
                <w:rFonts w:eastAsia="Calibri" w:cs="Times New Roman"/>
                <w:b/>
                <w:color w:val="000000"/>
                <w:sz w:val="24"/>
                <w:szCs w:val="24"/>
                <w:u w:val="single"/>
                <w:shd w:val="clear" w:color="auto" w:fill="FFFFFF"/>
              </w:rPr>
            </w:pPr>
            <w:r w:rsidRPr="0084547A">
              <w:rPr>
                <w:rFonts w:eastAsia="Calibri" w:cs="Times New Roman"/>
                <w:b/>
                <w:color w:val="000000"/>
                <w:sz w:val="24"/>
                <w:szCs w:val="24"/>
                <w:u w:val="single"/>
                <w:shd w:val="clear" w:color="auto" w:fill="FFFFFF"/>
              </w:rPr>
              <w:t>Минфин</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В соответствии со статьей 6 Закона, государственным, муниципальным служащим и работникам закупающих организаций и членам конкурсной комиссии запрещается:</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1) оказывать какое-либо влияние на решение в государственных закупках в интересах любой из сторон закупок;</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2) участвовать в качестве поставщиков (подрядчиков) или быть с ними аффилированным лицом при закупках, регулируемых настоящим Законом;</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3) быть аффилированным лицом.</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КР порядке, а процедуры закупок приостанавливаются либо прекращаются по решению закупающей организации или суда.</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Лицо не может исполнять обязанности, связанные с процедурами закупок, если оно:</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1) является аффилированным лицом;</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2) в течение предшествующих двух лет являлось сотрудником какого-либо поставщика (подрядчика), участвующего в процедурах закупок.</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Закупающая организация не может заключать договор о закупках или рамочное соглашение с поставщиком (подрядчиком), если учредитель </w:t>
            </w:r>
            <w:r w:rsidRPr="00FF78FF">
              <w:rPr>
                <w:rFonts w:eastAsia="Calibri" w:cs="Times New Roman"/>
                <w:color w:val="000000"/>
                <w:sz w:val="24"/>
                <w:szCs w:val="24"/>
                <w:shd w:val="clear" w:color="auto" w:fill="FFFFFF"/>
              </w:rPr>
              <w:lastRenderedPageBreak/>
              <w:t>(учредители) или руководитель (руководители) является (являются) учредителем (учредителями) или руководителем (руководителями) другого поставщика (подрядчика), участвующего в одном конкурсе.</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Закупающая организация не может заключать договор или рамочное соглашение о закупках с поставщиком (подрядчиком), учредителем и (или) участниками которых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8344DB"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Закупающая организация вправе потребовать от поставщика (подрядчика)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Закупающая организация не может заключать договор или рамочное соглашение о закупках с поставщиком (подрядчиком), сотрудник которого отвечал за подготовку спецификаций или конкурсной документации либо поставщик (подрядчик) за последние два года являлся сотрудником данной закупающей организации.</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Все участники конкурса должны соблюдать основные принципы этики поведения в процессе государственных закупок и при исполнении договоров о закупках. Они не должны быть замешаны в неправомерных действиях, таких как коррупция, мошенничество, сговор и принуждение, указанных в Уголовном </w:t>
            </w:r>
            <w:hyperlink r:id="rId8" w:history="1">
              <w:r w:rsidRPr="00FF78FF">
                <w:rPr>
                  <w:rFonts w:eastAsia="Calibri" w:cs="Times New Roman"/>
                  <w:color w:val="000000"/>
                  <w:sz w:val="24"/>
                  <w:szCs w:val="24"/>
                  <w:shd w:val="clear" w:color="auto" w:fill="FFFFFF"/>
                </w:rPr>
                <w:t>кодексе</w:t>
              </w:r>
            </w:hyperlink>
            <w:r w:rsidRPr="00FF78FF">
              <w:rPr>
                <w:rFonts w:eastAsia="Calibri" w:cs="Times New Roman"/>
                <w:color w:val="000000"/>
                <w:sz w:val="24"/>
                <w:szCs w:val="24"/>
                <w:shd w:val="clear" w:color="auto" w:fill="FFFFFF"/>
              </w:rPr>
              <w:t xml:space="preserve"> Кыргызской Республики.</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Закупающая организация не может заключить договор о закупках или рамочное соглашение с поставщиком (подрядчиком), который является дочерней компанией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договора о закупках.</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В случае выявления закупающей организацией фактов, указанных в частях 1-7 настоящей статьи, конкурсные заявки таких поставщиков (подрядчиков) подлежат отклонению.</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Отклонение конкурсной заявки либо отмена конкурса в соответствии с настоящей статьей и причины этого отражаются в протоколе процедур закупок</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Также согласно Стандартной конкурсной документации  на закупку товаров, работ и услуг одноэтапным, двухэтапным, упрощенным методами и методом на понижение цены, утвержденного приказом МФ КР от 14 октября 2015 года № 175-П, Сведения, которые требуются от Участников конкурса, что руководители, учредители и участники поставщика (подрядчика) не являются аффилированными лицами. </w:t>
            </w:r>
          </w:p>
          <w:p w:rsidR="008344DB" w:rsidRPr="00FF78FF" w:rsidRDefault="008344DB" w:rsidP="008344DB">
            <w:pPr>
              <w:ind w:firstLine="0"/>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Вместе с тем отмечаем, что на веб-портале государственных закупок КР предусмотрен модуль по подтверждению конфликта интересов и аффилированности  лиц участников конкурса в процессе подачи конкурсной заявки со стороны поставщиков (подрядчиков).</w:t>
            </w:r>
          </w:p>
          <w:p w:rsidR="00FF78FF" w:rsidRDefault="008344DB" w:rsidP="008344DB">
            <w:pPr>
              <w:ind w:firstLine="0"/>
              <w:contextualSpacing/>
              <w:jc w:val="left"/>
              <w:rPr>
                <w:rFonts w:eastAsia="Calibri" w:cs="Times New Roman"/>
                <w:b/>
                <w:color w:val="000000"/>
                <w:sz w:val="24"/>
                <w:szCs w:val="24"/>
                <w:shd w:val="clear" w:color="auto" w:fill="FFFFFF"/>
              </w:rPr>
            </w:pPr>
            <w:r w:rsidRPr="00FF78FF">
              <w:rPr>
                <w:rFonts w:eastAsia="Calibri" w:cs="Times New Roman"/>
                <w:color w:val="000000"/>
                <w:sz w:val="24"/>
                <w:szCs w:val="24"/>
                <w:shd w:val="clear" w:color="auto" w:fill="FFFFFF"/>
              </w:rPr>
              <w:t xml:space="preserve">Таким образом, </w:t>
            </w:r>
            <w:r w:rsidRPr="00FF78FF">
              <w:rPr>
                <w:rFonts w:eastAsia="Calibri" w:cs="Times New Roman"/>
                <w:b/>
                <w:color w:val="000000"/>
                <w:sz w:val="24"/>
                <w:szCs w:val="24"/>
                <w:shd w:val="clear" w:color="auto" w:fill="FFFFFF"/>
              </w:rPr>
              <w:t>данный вопрос отрегулирован на законодательном и системном уровнях на веб-портале государственных закупок.</w:t>
            </w:r>
          </w:p>
          <w:p w:rsidR="00562790" w:rsidRPr="00FD72DB" w:rsidRDefault="002D05CB" w:rsidP="008344DB">
            <w:pPr>
              <w:ind w:firstLine="0"/>
              <w:contextualSpacing/>
              <w:jc w:val="left"/>
              <w:rPr>
                <w:rFonts w:eastAsia="Calibri" w:cs="Times New Roman"/>
                <w:b/>
                <w:color w:val="000000"/>
                <w:sz w:val="24"/>
                <w:szCs w:val="24"/>
                <w:u w:val="single"/>
                <w:shd w:val="clear" w:color="auto" w:fill="FFFFFF"/>
              </w:rPr>
            </w:pPr>
            <w:r w:rsidRPr="00FD72DB">
              <w:rPr>
                <w:rFonts w:eastAsia="Calibri" w:cs="Times New Roman"/>
                <w:b/>
                <w:color w:val="000000"/>
                <w:sz w:val="24"/>
                <w:szCs w:val="24"/>
                <w:u w:val="single"/>
                <w:shd w:val="clear" w:color="auto" w:fill="FFFFFF"/>
              </w:rPr>
              <w:t xml:space="preserve">Минэконом </w:t>
            </w:r>
          </w:p>
          <w:p w:rsidR="002D05CB" w:rsidRPr="002D05CB" w:rsidRDefault="002D05CB" w:rsidP="00FD72DB">
            <w:pPr>
              <w:ind w:firstLine="0"/>
              <w:contextualSpacing/>
              <w:jc w:val="left"/>
              <w:rPr>
                <w:rFonts w:eastAsia="Calibri" w:cs="Times New Roman"/>
                <w:color w:val="000000"/>
                <w:sz w:val="24"/>
                <w:szCs w:val="24"/>
                <w:shd w:val="clear" w:color="auto" w:fill="FFFFFF"/>
              </w:rPr>
            </w:pPr>
            <w:r w:rsidRPr="002D05CB">
              <w:rPr>
                <w:rFonts w:eastAsia="Calibri" w:cs="Times New Roman"/>
                <w:color w:val="000000"/>
                <w:sz w:val="24"/>
                <w:szCs w:val="24"/>
                <w:shd w:val="clear" w:color="auto" w:fill="FFFFFF"/>
              </w:rPr>
              <w:t>Министерство, по итогам проведенного совещания с участием ответственного лица от Министерства финансов КР по пунктам 1-3 Плана</w:t>
            </w:r>
            <w:r w:rsidR="00FD72DB">
              <w:rPr>
                <w:rFonts w:eastAsia="Calibri" w:cs="Times New Roman"/>
                <w:color w:val="000000"/>
                <w:sz w:val="24"/>
                <w:szCs w:val="24"/>
                <w:shd w:val="clear" w:color="auto" w:fill="FFFFFF"/>
              </w:rPr>
              <w:t xml:space="preserve"> </w:t>
            </w:r>
            <w:r w:rsidRPr="002D05CB">
              <w:rPr>
                <w:rFonts w:eastAsia="Calibri" w:cs="Times New Roman"/>
                <w:color w:val="000000"/>
                <w:sz w:val="24"/>
                <w:szCs w:val="24"/>
                <w:shd w:val="clear" w:color="auto" w:fill="FFFFFF"/>
              </w:rPr>
              <w:t xml:space="preserve">направлено письмо в Министерство финансов КР </w:t>
            </w:r>
            <w:r w:rsidR="00FD72DB">
              <w:rPr>
                <w:rFonts w:eastAsia="Calibri" w:cs="Times New Roman"/>
                <w:color w:val="000000"/>
                <w:sz w:val="24"/>
                <w:szCs w:val="24"/>
                <w:shd w:val="clear" w:color="auto" w:fill="FFFFFF"/>
              </w:rPr>
              <w:t xml:space="preserve">(исх.№02/2678 от 25.02.2019 г.) </w:t>
            </w:r>
            <w:r w:rsidRPr="002D05CB">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2D05CB">
              <w:rPr>
                <w:rFonts w:eastAsia="Calibri" w:cs="Times New Roman"/>
                <w:color w:val="000000"/>
                <w:sz w:val="24"/>
                <w:szCs w:val="24"/>
                <w:shd w:val="clear" w:color="auto" w:fill="FFFFFF"/>
              </w:rPr>
              <w:t>услуг</w:t>
            </w:r>
            <w:r w:rsidR="00FD72DB">
              <w:rPr>
                <w:rFonts w:eastAsia="Calibri" w:cs="Times New Roman"/>
                <w:color w:val="000000"/>
                <w:sz w:val="24"/>
                <w:szCs w:val="24"/>
                <w:shd w:val="clear" w:color="auto" w:fill="FFFFFF"/>
              </w:rPr>
              <w:t xml:space="preserve"> </w:t>
            </w:r>
            <w:r w:rsidRPr="002D05CB">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FF78FF"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lastRenderedPageBreak/>
              <w:t>ЗОНА 2. Проверки субъектов предпринимательства</w:t>
            </w:r>
          </w:p>
        </w:tc>
      </w:tr>
      <w:tr w:rsidR="008344DB" w:rsidRPr="00FF78FF" w:rsidTr="00823BF2">
        <w:tblPrEx>
          <w:tblLook w:val="04A0" w:firstRow="1" w:lastRow="0" w:firstColumn="1" w:lastColumn="0" w:noHBand="0" w:noVBand="1"/>
        </w:tblPrEx>
        <w:trPr>
          <w:trHeight w:hRule="exact" w:val="31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4: Прием жалоб</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lastRenderedPageBreak/>
              <w:t>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9" w:history="1">
              <w:r w:rsidRPr="00FF78FF">
                <w:rPr>
                  <w:rStyle w:val="a7"/>
                  <w:rFonts w:cs="Times New Roman"/>
                  <w:bCs/>
                  <w:sz w:val="24"/>
                  <w:szCs w:val="24"/>
                  <w:lang w:val="en-US"/>
                </w:rPr>
                <w:t>www</w:t>
              </w:r>
              <w:r w:rsidRPr="00FF78FF">
                <w:rPr>
                  <w:rStyle w:val="a7"/>
                  <w:rFonts w:cs="Times New Roman"/>
                  <w:bCs/>
                  <w:sz w:val="24"/>
                  <w:szCs w:val="24"/>
                </w:rPr>
                <w:t>.</w:t>
              </w:r>
              <w:r w:rsidRPr="00FF78FF">
                <w:rPr>
                  <w:rStyle w:val="a7"/>
                  <w:rFonts w:cs="Times New Roman"/>
                  <w:bCs/>
                  <w:sz w:val="24"/>
                  <w:szCs w:val="24"/>
                  <w:lang w:val="en-US"/>
                </w:rPr>
                <w:t>proverka</w:t>
              </w:r>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bCs/>
                <w:sz w:val="24"/>
                <w:szCs w:val="24"/>
              </w:rPr>
              <w:t xml:space="preserve">. </w:t>
            </w:r>
          </w:p>
        </w:tc>
        <w:tc>
          <w:tcPr>
            <w:tcW w:w="1331" w:type="dxa"/>
            <w:gridSpan w:val="3"/>
          </w:tcPr>
          <w:p w:rsidR="008344DB" w:rsidRPr="00FF78FF" w:rsidRDefault="008344DB" w:rsidP="00823BF2">
            <w:pPr>
              <w:ind w:left="-66" w:right="-80" w:firstLine="7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b/>
                <w:sz w:val="24"/>
                <w:szCs w:val="24"/>
              </w:rPr>
            </w:pPr>
            <w:r w:rsidRPr="00FF78FF">
              <w:rPr>
                <w:rFonts w:cs="Times New Roman"/>
                <w:bCs/>
                <w:sz w:val="24"/>
                <w:szCs w:val="24"/>
              </w:rPr>
              <w:t>30.09. 2018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решения ПКР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445E7A" w:rsidRPr="00FF78FF" w:rsidRDefault="00445E7A" w:rsidP="00445E7A">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445E7A" w:rsidP="00445E7A">
            <w:pPr>
              <w:ind w:firstLine="0"/>
              <w:rPr>
                <w:rFonts w:cs="Times New Roman"/>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w:t>
            </w:r>
            <w:r w:rsidR="00A34310" w:rsidRPr="00FF78FF">
              <w:rPr>
                <w:rFonts w:eastAsia="Calibri" w:cs="Times New Roman"/>
                <w:sz w:val="24"/>
                <w:szCs w:val="24"/>
              </w:rPr>
              <w:t xml:space="preserve">направлено письмо о </w:t>
            </w:r>
            <w:r w:rsidR="00A34310" w:rsidRPr="00FF78FF">
              <w:rPr>
                <w:rFonts w:eastAsia="Calibri" w:cs="Times New Roman"/>
                <w:b/>
                <w:sz w:val="24"/>
                <w:szCs w:val="24"/>
              </w:rPr>
              <w:t>продлении сроков исполнения пункта до конца третьего квартала 2019 года</w:t>
            </w:r>
            <w:r w:rsidR="00A34310" w:rsidRPr="00FF78FF">
              <w:rPr>
                <w:rFonts w:eastAsia="Calibri" w:cs="Times New Roman"/>
                <w:sz w:val="24"/>
                <w:szCs w:val="24"/>
              </w:rPr>
              <w:t xml:space="preserve"> в Совет безопасности КР </w:t>
            </w:r>
            <w:r w:rsidRPr="00FF78FF">
              <w:rPr>
                <w:rFonts w:eastAsia="Calibri" w:cs="Times New Roman"/>
                <w:sz w:val="24"/>
                <w:szCs w:val="24"/>
              </w:rPr>
              <w:t xml:space="preserve">(исх. №17-3/278 </w:t>
            </w:r>
            <w:r w:rsidR="00A34310" w:rsidRPr="00FF78FF">
              <w:rPr>
                <w:rFonts w:eastAsia="Calibri" w:cs="Times New Roman"/>
                <w:sz w:val="24"/>
                <w:szCs w:val="24"/>
              </w:rPr>
              <w:t>от 14.01.2019 года)</w:t>
            </w:r>
            <w:r w:rsidR="005C0AC2" w:rsidRPr="00FF78FF">
              <w:rPr>
                <w:rFonts w:eastAsia="Calibri" w:cs="Times New Roman"/>
                <w:b/>
                <w:sz w:val="24"/>
                <w:szCs w:val="24"/>
              </w:rPr>
              <w:t>.</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5</w:t>
            </w:r>
          </w:p>
        </w:tc>
        <w:tc>
          <w:tcPr>
            <w:tcW w:w="4519" w:type="dxa"/>
            <w:gridSpan w:val="3"/>
          </w:tcPr>
          <w:p w:rsidR="008344DB" w:rsidRPr="00FF78FF" w:rsidRDefault="008344DB" w:rsidP="00735E03">
            <w:pPr>
              <w:ind w:firstLine="0"/>
              <w:contextualSpacing/>
              <w:jc w:val="left"/>
              <w:rPr>
                <w:rFonts w:cs="Times New Roman"/>
                <w:bCs/>
                <w:i/>
                <w:sz w:val="24"/>
                <w:szCs w:val="24"/>
              </w:rPr>
            </w:pPr>
            <w:r w:rsidRPr="00FF78FF">
              <w:rPr>
                <w:rFonts w:cs="Times New Roman"/>
                <w:bCs/>
                <w:sz w:val="24"/>
                <w:szCs w:val="24"/>
              </w:rPr>
              <w:t>На базе действующего Колл-центра обеспечить прозрачность сайта по жалобам предпринимателей</w:t>
            </w:r>
          </w:p>
        </w:tc>
        <w:tc>
          <w:tcPr>
            <w:tcW w:w="1331" w:type="dxa"/>
            <w:gridSpan w:val="3"/>
          </w:tcPr>
          <w:p w:rsidR="008344DB" w:rsidRPr="00FF78FF" w:rsidRDefault="008344DB" w:rsidP="00823BF2">
            <w:pPr>
              <w:ind w:left="-66" w:right="-80" w:firstLine="7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30.06.2018</w:t>
            </w:r>
          </w:p>
          <w:p w:rsidR="008344DB" w:rsidRPr="00FF78FF" w:rsidRDefault="008344DB" w:rsidP="00735E03">
            <w:pPr>
              <w:ind w:right="-52" w:firstLine="0"/>
              <w:rPr>
                <w:rFonts w:cs="Times New Roman"/>
                <w:sz w:val="24"/>
                <w:szCs w:val="24"/>
              </w:rPr>
            </w:pPr>
          </w:p>
          <w:p w:rsidR="008344DB" w:rsidRPr="00FF78FF" w:rsidRDefault="008344DB" w:rsidP="00735E03">
            <w:pPr>
              <w:ind w:right="-52" w:firstLine="0"/>
              <w:rPr>
                <w:rFonts w:cs="Times New Roman"/>
                <w:i/>
                <w:sz w:val="24"/>
                <w:szCs w:val="24"/>
              </w:rPr>
            </w:pPr>
          </w:p>
        </w:tc>
        <w:tc>
          <w:tcPr>
            <w:tcW w:w="3094" w:type="dxa"/>
            <w:gridSpan w:val="2"/>
          </w:tcPr>
          <w:p w:rsidR="008344DB" w:rsidRPr="00FF78FF" w:rsidRDefault="008344DB" w:rsidP="00735E03">
            <w:pPr>
              <w:ind w:left="-38" w:right="-66" w:firstLine="0"/>
              <w:jc w:val="left"/>
              <w:rPr>
                <w:rFonts w:cs="Times New Roman"/>
                <w:sz w:val="24"/>
                <w:szCs w:val="24"/>
              </w:rPr>
            </w:pPr>
            <w:r w:rsidRPr="00FF78FF">
              <w:rPr>
                <w:rFonts w:cs="Times New Roman"/>
                <w:sz w:val="24"/>
                <w:szCs w:val="24"/>
              </w:rPr>
              <w:t xml:space="preserve">Обеспечен прием жалоб на действия/ бездействия </w:t>
            </w:r>
            <w:r w:rsidRPr="00FF78FF">
              <w:rPr>
                <w:rFonts w:cs="Times New Roman"/>
                <w:bCs/>
                <w:sz w:val="24"/>
                <w:szCs w:val="24"/>
              </w:rPr>
              <w:t xml:space="preserve">должностных лиц осуществляющих проверку, а также обеспечено </w:t>
            </w:r>
            <w:r w:rsidRPr="00FF78FF">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 коррупционный риск сокрытия информации о поданных жалобах</w:t>
            </w:r>
          </w:p>
        </w:tc>
      </w:tr>
      <w:tr w:rsidR="005C0AC2" w:rsidRPr="00FF78FF" w:rsidTr="00823BF2">
        <w:tc>
          <w:tcPr>
            <w:tcW w:w="15274" w:type="dxa"/>
            <w:gridSpan w:val="11"/>
          </w:tcPr>
          <w:p w:rsidR="005C0AC2" w:rsidRPr="00FF78FF"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FF78FF">
              <w:rPr>
                <w:rFonts w:eastAsia="Times New Roman" w:cs="Times New Roman"/>
                <w:b/>
                <w:sz w:val="24"/>
                <w:szCs w:val="24"/>
                <w:u w:val="single"/>
                <w:lang w:val="ky-KG" w:eastAsia="ru-RU"/>
              </w:rPr>
              <w:t>Исполнено</w:t>
            </w:r>
          </w:p>
          <w:p w:rsidR="005C0AC2" w:rsidRPr="00FF78F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F78FF">
              <w:rPr>
                <w:rFonts w:eastAsia="Times New Roman" w:cs="Times New Roman"/>
                <w:sz w:val="24"/>
                <w:szCs w:val="24"/>
                <w:lang w:val="ky-KG" w:eastAsia="ru-RU"/>
              </w:rPr>
              <w:t>Министерством 30 сентября 2018 года запущен новый официальный веб-сайт (</w:t>
            </w:r>
            <w:r w:rsidRPr="00FF78FF">
              <w:rPr>
                <w:rFonts w:eastAsia="Times New Roman" w:cs="Times New Roman"/>
                <w:sz w:val="24"/>
                <w:szCs w:val="24"/>
                <w:lang w:val="en-US" w:eastAsia="ru-RU"/>
              </w:rPr>
              <w:t>www</w:t>
            </w:r>
            <w:r w:rsidRPr="00FF78FF">
              <w:rPr>
                <w:rFonts w:eastAsia="Times New Roman" w:cs="Times New Roman"/>
                <w:sz w:val="24"/>
                <w:szCs w:val="24"/>
                <w:lang w:eastAsia="ru-RU"/>
              </w:rPr>
              <w:t>.</w:t>
            </w:r>
            <w:r w:rsidRPr="00FF78FF">
              <w:rPr>
                <w:rFonts w:eastAsia="Times New Roman" w:cs="Times New Roman"/>
                <w:sz w:val="24"/>
                <w:szCs w:val="24"/>
                <w:lang w:val="en-US" w:eastAsia="ru-RU"/>
              </w:rPr>
              <w:t>mineconom</w:t>
            </w:r>
            <w:r w:rsidRPr="00FF78FF">
              <w:rPr>
                <w:rFonts w:eastAsia="Times New Roman" w:cs="Times New Roman"/>
                <w:sz w:val="24"/>
                <w:szCs w:val="24"/>
                <w:lang w:eastAsia="ru-RU"/>
              </w:rPr>
              <w:t>.</w:t>
            </w:r>
            <w:r w:rsidRPr="00FF78FF">
              <w:rPr>
                <w:rFonts w:eastAsia="Times New Roman" w:cs="Times New Roman"/>
                <w:sz w:val="24"/>
                <w:szCs w:val="24"/>
                <w:lang w:val="en-US" w:eastAsia="ru-RU"/>
              </w:rPr>
              <w:t>gov</w:t>
            </w:r>
            <w:r w:rsidRPr="00FF78FF">
              <w:rPr>
                <w:rFonts w:eastAsia="Times New Roman" w:cs="Times New Roman"/>
                <w:sz w:val="24"/>
                <w:szCs w:val="24"/>
                <w:lang w:eastAsia="ru-RU"/>
              </w:rPr>
              <w:t>.</w:t>
            </w:r>
            <w:r w:rsidRPr="00FF78FF">
              <w:rPr>
                <w:rFonts w:eastAsia="Times New Roman" w:cs="Times New Roman"/>
                <w:sz w:val="24"/>
                <w:szCs w:val="24"/>
                <w:lang w:val="en-US" w:eastAsia="ru-RU"/>
              </w:rPr>
              <w:t>kg</w:t>
            </w:r>
            <w:r w:rsidRPr="00FF78FF">
              <w:rPr>
                <w:rFonts w:eastAsia="Times New Roman" w:cs="Times New Roman"/>
                <w:sz w:val="24"/>
                <w:szCs w:val="24"/>
                <w:lang w:val="ky-KG" w:eastAsia="ru-RU"/>
              </w:rPr>
              <w:t>). В новой версии сайта учтены предложения и замечания пользователей</w:t>
            </w:r>
            <w:r w:rsidRPr="00FF78FF">
              <w:rPr>
                <w:rFonts w:eastAsia="Times New Roman" w:cs="Times New Roman"/>
                <w:sz w:val="24"/>
                <w:szCs w:val="24"/>
                <w:lang w:eastAsia="ru-RU"/>
              </w:rPr>
              <w:t xml:space="preserve"> </w:t>
            </w:r>
            <w:r w:rsidRPr="00FF78FF">
              <w:rPr>
                <w:rFonts w:eastAsia="Times New Roman" w:cs="Times New Roman"/>
                <w:sz w:val="24"/>
                <w:szCs w:val="24"/>
                <w:lang w:val="ky-KG" w:eastAsia="ru-RU"/>
              </w:rPr>
              <w:t xml:space="preserve">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пользвоаптелей сайта. </w:t>
            </w:r>
          </w:p>
          <w:p w:rsidR="005C0AC2" w:rsidRPr="00FF78F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F78FF">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FF78FF" w:rsidRDefault="005C0AC2" w:rsidP="005C0AC2">
            <w:pPr>
              <w:ind w:firstLine="0"/>
              <w:rPr>
                <w:rFonts w:cs="Times New Roman"/>
                <w:sz w:val="24"/>
                <w:szCs w:val="24"/>
              </w:rPr>
            </w:pPr>
            <w:r w:rsidRPr="00FF78FF">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онлайн-инструмент обеспечивающий открытый доступ к жалобам поданным в электронной форме и информации о результатах рассмотрения жалоб на веб-портале </w:t>
            </w:r>
            <w:hyperlink r:id="rId10" w:history="1">
              <w:r w:rsidRPr="00FF78FF">
                <w:rPr>
                  <w:rStyle w:val="a7"/>
                  <w:rFonts w:cs="Times New Roman"/>
                  <w:bCs/>
                  <w:sz w:val="24"/>
                  <w:szCs w:val="24"/>
                  <w:lang w:val="en-US"/>
                </w:rPr>
                <w:t>www</w:t>
              </w:r>
              <w:r w:rsidRPr="00FF78FF">
                <w:rPr>
                  <w:rStyle w:val="a7"/>
                  <w:rFonts w:cs="Times New Roman"/>
                  <w:bCs/>
                  <w:sz w:val="24"/>
                  <w:szCs w:val="24"/>
                </w:rPr>
                <w:t>.</w:t>
              </w:r>
              <w:r w:rsidRPr="00FF78FF">
                <w:rPr>
                  <w:rStyle w:val="a7"/>
                  <w:rFonts w:cs="Times New Roman"/>
                  <w:bCs/>
                  <w:sz w:val="24"/>
                  <w:szCs w:val="24"/>
                  <w:lang w:val="en-US"/>
                </w:rPr>
                <w:t>proverka</w:t>
              </w:r>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bCs/>
                <w:sz w:val="24"/>
                <w:szCs w:val="24"/>
              </w:rPr>
              <w:t>.</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lastRenderedPageBreak/>
              <w:t>МЭ</w:t>
            </w:r>
          </w:p>
        </w:tc>
        <w:tc>
          <w:tcPr>
            <w:tcW w:w="1387" w:type="dxa"/>
          </w:tcPr>
          <w:p w:rsidR="008344DB" w:rsidRPr="00FF78FF" w:rsidRDefault="008344DB" w:rsidP="00735E03">
            <w:pPr>
              <w:ind w:right="-52" w:firstLine="0"/>
              <w:rPr>
                <w:rFonts w:cs="Times New Roman"/>
                <w:sz w:val="24"/>
                <w:szCs w:val="24"/>
              </w:rPr>
            </w:pPr>
            <w:r w:rsidRPr="00FF78FF">
              <w:rPr>
                <w:rFonts w:cs="Times New Roman"/>
                <w:bCs/>
                <w:sz w:val="24"/>
                <w:szCs w:val="24"/>
              </w:rPr>
              <w:t>30.11.2018</w:t>
            </w:r>
          </w:p>
        </w:tc>
        <w:tc>
          <w:tcPr>
            <w:tcW w:w="3094" w:type="dxa"/>
            <w:gridSpan w:val="2"/>
          </w:tcPr>
          <w:p w:rsidR="008344DB" w:rsidRPr="00FF78FF" w:rsidRDefault="008344DB" w:rsidP="00735E03">
            <w:pPr>
              <w:ind w:left="-38" w:right="-80" w:firstLine="0"/>
              <w:jc w:val="left"/>
              <w:rPr>
                <w:rFonts w:cs="Times New Roman"/>
                <w:sz w:val="24"/>
                <w:szCs w:val="24"/>
              </w:rPr>
            </w:pPr>
            <w:r w:rsidRPr="00FF78FF">
              <w:rPr>
                <w:rFonts w:cs="Times New Roman"/>
                <w:sz w:val="24"/>
                <w:szCs w:val="24"/>
              </w:rPr>
              <w:t xml:space="preserve">Разработан и внедрен онлайн-инструмент на веб-портале </w:t>
            </w:r>
            <w:hyperlink r:id="rId11" w:history="1">
              <w:r w:rsidRPr="00FF78FF">
                <w:rPr>
                  <w:rStyle w:val="a7"/>
                  <w:rFonts w:cs="Times New Roman"/>
                  <w:bCs/>
                  <w:sz w:val="24"/>
                  <w:szCs w:val="24"/>
                  <w:lang w:val="en-US"/>
                </w:rPr>
                <w:t>www</w:t>
              </w:r>
              <w:r w:rsidRPr="00FF78FF">
                <w:rPr>
                  <w:rStyle w:val="a7"/>
                  <w:rFonts w:cs="Times New Roman"/>
                  <w:bCs/>
                  <w:sz w:val="24"/>
                  <w:szCs w:val="24"/>
                </w:rPr>
                <w:t>.</w:t>
              </w:r>
              <w:r w:rsidRPr="00FF78FF">
                <w:rPr>
                  <w:rStyle w:val="a7"/>
                  <w:rFonts w:cs="Times New Roman"/>
                  <w:bCs/>
                  <w:sz w:val="24"/>
                  <w:szCs w:val="24"/>
                  <w:lang w:val="en-US"/>
                </w:rPr>
                <w:t>proverka</w:t>
              </w:r>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sz w:val="24"/>
                <w:szCs w:val="24"/>
              </w:rPr>
              <w:t xml:space="preserve"> по приему жалоб на действия/бездействия </w:t>
            </w:r>
            <w:r w:rsidRPr="00FF78FF">
              <w:rPr>
                <w:rFonts w:cs="Times New Roman"/>
                <w:bCs/>
                <w:sz w:val="24"/>
                <w:szCs w:val="24"/>
              </w:rPr>
              <w:lastRenderedPageBreak/>
              <w:t xml:space="preserve">должностных лиц осуществляющих проверку, а также обеспечено </w:t>
            </w:r>
            <w:r w:rsidRPr="00FF78FF">
              <w:rPr>
                <w:rFonts w:cs="Times New Roman"/>
                <w:sz w:val="24"/>
                <w:szCs w:val="24"/>
              </w:rPr>
              <w:t xml:space="preserve">обнародование информации о поданных жалобах и результатам их рассмотрения.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445E7A" w:rsidRPr="00FF78FF" w:rsidRDefault="00445E7A" w:rsidP="00445E7A">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445E7A" w:rsidP="00445E7A">
            <w:pPr>
              <w:ind w:firstLine="0"/>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FF78FF" w:rsidRDefault="008344DB" w:rsidP="00823BF2">
            <w:pPr>
              <w:ind w:left="-66" w:right="-80" w:firstLine="5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bCs/>
                <w:sz w:val="24"/>
                <w:szCs w:val="24"/>
              </w:rPr>
            </w:pPr>
            <w:r w:rsidRPr="00FF78FF">
              <w:rPr>
                <w:rFonts w:cs="Times New Roman"/>
                <w:bCs/>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Разработаны и распространены в СМИ информационные материалы.</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Бизнес-сообщество информировано о новых возможностях защиты своих прав. </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5C0AC2" w:rsidRPr="00FF78FF" w:rsidRDefault="00727EE8" w:rsidP="005C0AC2">
            <w:pPr>
              <w:ind w:firstLine="0"/>
              <w:rPr>
                <w:rFonts w:cs="Times New Roman"/>
                <w:sz w:val="24"/>
                <w:szCs w:val="24"/>
              </w:rPr>
            </w:pPr>
            <w:r w:rsidRPr="00FF78FF">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(п.4,6)</w:t>
            </w:r>
          </w:p>
        </w:tc>
      </w:tr>
      <w:tr w:rsidR="008344DB"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Доработать портал </w:t>
            </w:r>
            <w:hyperlink r:id="rId12" w:history="1">
              <w:r w:rsidRPr="00FF78FF">
                <w:rPr>
                  <w:rStyle w:val="a7"/>
                  <w:rFonts w:cs="Times New Roman"/>
                  <w:bCs/>
                  <w:sz w:val="24"/>
                  <w:szCs w:val="24"/>
                </w:rPr>
                <w:t>www.proverka.kg</w:t>
              </w:r>
            </w:hyperlink>
            <w:r w:rsidRPr="00FF78FF">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FF78FF" w:rsidRDefault="008344DB" w:rsidP="00823BF2">
            <w:pPr>
              <w:ind w:left="-66" w:right="-80" w:firstLine="168"/>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38" w:right="-52"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3"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FF78FF" w:rsidTr="00823BF2">
        <w:tc>
          <w:tcPr>
            <w:tcW w:w="15274" w:type="dxa"/>
            <w:gridSpan w:val="11"/>
          </w:tcPr>
          <w:p w:rsidR="00727EE8" w:rsidRPr="00FF78FF" w:rsidRDefault="00727EE8" w:rsidP="00727EE8">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727EE8" w:rsidRPr="00FF78FF" w:rsidRDefault="00727EE8" w:rsidP="00727EE8">
            <w:pPr>
              <w:ind w:right="-66" w:firstLine="0"/>
              <w:jc w:val="left"/>
              <w:rPr>
                <w:rFonts w:eastAsia="Calibri" w:cs="Times New Roman"/>
                <w:sz w:val="24"/>
                <w:szCs w:val="24"/>
                <w:u w:val="single"/>
              </w:rPr>
            </w:pPr>
            <w:r w:rsidRPr="00FF78FF">
              <w:rPr>
                <w:rFonts w:eastAsia="Calibri" w:cs="Times New Roman"/>
                <w:sz w:val="24"/>
                <w:szCs w:val="24"/>
                <w:u w:val="single"/>
              </w:rPr>
              <w:t>На постоянной основе</w:t>
            </w:r>
          </w:p>
          <w:p w:rsidR="00A34310" w:rsidRPr="00FF78FF" w:rsidRDefault="00727EE8" w:rsidP="00727EE8">
            <w:pPr>
              <w:ind w:firstLine="0"/>
              <w:rPr>
                <w:rFonts w:cs="Times New Roman"/>
                <w:sz w:val="24"/>
                <w:szCs w:val="24"/>
              </w:rPr>
            </w:pPr>
            <w:r w:rsidRPr="00FF78FF">
              <w:rPr>
                <w:rFonts w:eastAsia="Calibri" w:cs="Times New Roman"/>
                <w:sz w:val="24"/>
                <w:szCs w:val="24"/>
              </w:rPr>
              <w:t>Информация о планах проверки за 2016-2018 годы размещена на портале</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Доработать портал </w:t>
            </w:r>
            <w:hyperlink r:id="rId14" w:history="1">
              <w:r w:rsidRPr="00FF78FF">
                <w:rPr>
                  <w:rStyle w:val="a7"/>
                  <w:rFonts w:cs="Times New Roman"/>
                  <w:bCs/>
                  <w:sz w:val="24"/>
                  <w:szCs w:val="24"/>
                </w:rPr>
                <w:t>www.proverka.kg</w:t>
              </w:r>
            </w:hyperlink>
            <w:r w:rsidRPr="00FF78FF">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52" w:right="-38"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5"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727EE8" w:rsidRPr="00FF78FF" w:rsidRDefault="00727EE8" w:rsidP="00727EE8">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727EE8" w:rsidP="00727EE8">
            <w:pPr>
              <w:ind w:firstLine="0"/>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344DB" w:rsidRPr="00FF78FF"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6: Отсутствие доступа к информации о результатах проверок</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10</w:t>
            </w:r>
          </w:p>
        </w:tc>
        <w:tc>
          <w:tcPr>
            <w:tcW w:w="4519" w:type="dxa"/>
            <w:gridSpan w:val="3"/>
            <w:vAlign w:val="center"/>
          </w:tcPr>
          <w:p w:rsidR="008344DB" w:rsidRPr="00FF78FF" w:rsidRDefault="008344DB" w:rsidP="00823BF2">
            <w:pPr>
              <w:ind w:firstLine="0"/>
              <w:contextualSpacing/>
              <w:rPr>
                <w:rFonts w:cs="Times New Roman"/>
                <w:bCs/>
                <w:sz w:val="24"/>
                <w:szCs w:val="24"/>
              </w:rPr>
            </w:pPr>
            <w:r w:rsidRPr="00FF78FF">
              <w:rPr>
                <w:rFonts w:cs="Times New Roman"/>
                <w:bCs/>
                <w:sz w:val="24"/>
                <w:szCs w:val="24"/>
              </w:rPr>
              <w:t xml:space="preserve">Доработать портал </w:t>
            </w:r>
            <w:hyperlink r:id="rId16" w:history="1">
              <w:r w:rsidRPr="00FF78FF">
                <w:rPr>
                  <w:rStyle w:val="a7"/>
                  <w:rFonts w:cs="Times New Roman"/>
                  <w:bCs/>
                  <w:sz w:val="24"/>
                  <w:szCs w:val="24"/>
                </w:rPr>
                <w:t>www.proverka.kg</w:t>
              </w:r>
            </w:hyperlink>
            <w:r w:rsidRPr="00FF78FF">
              <w:rPr>
                <w:rFonts w:cs="Times New Roman"/>
                <w:bCs/>
                <w:sz w:val="24"/>
                <w:szCs w:val="24"/>
              </w:rPr>
              <w:t xml:space="preserve"> для обнародования следующей информации о результатах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Дата проведения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Уведомление об осуществлении плановой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Акт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Уведомление об устранении нарушений.</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Информация об устранении нарушений.</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Решение о наложении взыскания в виде штрафа.</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Сумма взысканного штрафа.</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Передача сведений в правоохранительные органы.</w:t>
            </w:r>
          </w:p>
          <w:p w:rsidR="008344DB" w:rsidRPr="00FF78FF" w:rsidRDefault="008344DB" w:rsidP="00823BF2">
            <w:pPr>
              <w:pStyle w:val="a3"/>
              <w:numPr>
                <w:ilvl w:val="0"/>
                <w:numId w:val="1"/>
              </w:numPr>
              <w:spacing w:after="0" w:line="240" w:lineRule="auto"/>
              <w:ind w:left="256" w:hanging="266"/>
              <w:rPr>
                <w:rFonts w:cs="Times New Roman"/>
                <w:bCs/>
                <w:sz w:val="24"/>
                <w:szCs w:val="24"/>
              </w:rPr>
            </w:pPr>
            <w:r w:rsidRPr="00FF78FF">
              <w:rPr>
                <w:rFonts w:ascii="Times New Roman" w:hAnsi="Times New Roman" w:cs="Times New Roman"/>
                <w:bCs/>
                <w:sz w:val="24"/>
                <w:szCs w:val="24"/>
              </w:rPr>
              <w:t>Передача дела в суд.</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38" w:right="-66" w:firstLine="0"/>
              <w:rPr>
                <w:rFonts w:cs="Times New Roman"/>
                <w:sz w:val="24"/>
                <w:szCs w:val="24"/>
              </w:rPr>
            </w:pPr>
            <w:r w:rsidRPr="00FF78FF">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7"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Расширены возможности для проведения надзора и мониторинга за осуществляемыми проверками. </w:t>
            </w:r>
          </w:p>
        </w:tc>
      </w:tr>
      <w:tr w:rsidR="005C0AC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727EE8" w:rsidRPr="00FF78FF" w:rsidRDefault="00727EE8" w:rsidP="00727EE8">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727EE8" w:rsidP="00727EE8">
            <w:pPr>
              <w:ind w:firstLine="0"/>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11</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Внедрить на портале </w:t>
            </w:r>
            <w:hyperlink r:id="rId18" w:history="1">
              <w:r w:rsidRPr="00FF78FF">
                <w:rPr>
                  <w:rStyle w:val="a7"/>
                  <w:rFonts w:cs="Times New Roman"/>
                  <w:bCs/>
                  <w:sz w:val="24"/>
                  <w:szCs w:val="24"/>
                </w:rPr>
                <w:t>www.proverka.kg</w:t>
              </w:r>
            </w:hyperlink>
            <w:r w:rsidRPr="00FF78FF">
              <w:rPr>
                <w:rFonts w:cs="Times New Roman"/>
                <w:bCs/>
                <w:sz w:val="24"/>
                <w:szCs w:val="24"/>
              </w:rPr>
              <w:t xml:space="preserve"> функцию по автоматическому отображению даты внесения отчетных </w:t>
            </w:r>
            <w:r w:rsidRPr="00FF78FF">
              <w:rPr>
                <w:rFonts w:cs="Times New Roman"/>
                <w:bCs/>
                <w:sz w:val="24"/>
                <w:szCs w:val="24"/>
              </w:rPr>
              <w:lastRenderedPageBreak/>
              <w:t xml:space="preserve">данных о проведенных проверках </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lastRenderedPageBreak/>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right="-66"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9"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lastRenderedPageBreak/>
              <w:t xml:space="preserve">Минимизированы возможности искусственного затягивания сроков проведения проверки, направленного на </w:t>
            </w:r>
            <w:r w:rsidRPr="00FF78FF">
              <w:rPr>
                <w:rFonts w:cs="Times New Roman"/>
                <w:sz w:val="24"/>
                <w:szCs w:val="24"/>
              </w:rPr>
              <w:lastRenderedPageBreak/>
              <w:t>коррупционный сговор между проверяющим органом и субъектом проверки.</w:t>
            </w:r>
          </w:p>
        </w:tc>
      </w:tr>
      <w:tr w:rsidR="00B455B2" w:rsidRPr="00FF78FF" w:rsidTr="00823BF2">
        <w:tc>
          <w:tcPr>
            <w:tcW w:w="15274" w:type="dxa"/>
            <w:gridSpan w:val="11"/>
          </w:tcPr>
          <w:p w:rsidR="00C87060" w:rsidRPr="00FF78FF" w:rsidRDefault="00C87060" w:rsidP="00C87060">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C87060" w:rsidRPr="00FF78FF" w:rsidRDefault="00C87060" w:rsidP="00C87060">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B455B2" w:rsidRPr="00FF78FF" w:rsidRDefault="00C87060" w:rsidP="00C87060">
            <w:pPr>
              <w:ind w:firstLine="0"/>
              <w:jc w:val="left"/>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344DB" w:rsidRPr="00FF78FF" w:rsidTr="00823BF2">
        <w:tblPrEx>
          <w:tblLook w:val="04A0" w:firstRow="1" w:lastRow="0" w:firstColumn="1" w:lastColumn="0" w:noHBand="0" w:noVBand="1"/>
        </w:tblPrEx>
        <w:trPr>
          <w:trHeight w:hRule="exact" w:val="29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12</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решения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right="-66" w:firstLine="0"/>
              <w:jc w:val="left"/>
              <w:rPr>
                <w:rFonts w:eastAsia="Calibri" w:cs="Times New Roman"/>
                <w:color w:val="2B2B2B"/>
                <w:sz w:val="24"/>
                <w:szCs w:val="24"/>
                <w:shd w:val="clear" w:color="auto" w:fill="FFFFFF"/>
              </w:rPr>
            </w:pPr>
            <w:r w:rsidRPr="00FF78FF">
              <w:rPr>
                <w:rFonts w:eastAsia="Calibri" w:cs="Times New Roman"/>
                <w:sz w:val="24"/>
                <w:szCs w:val="24"/>
              </w:rPr>
              <w:t>Во исполнение норм Закона Кыргызской Республики «О порядке проведения проверок субъектов предпринимательства» было разработано и утверждено п</w:t>
            </w:r>
            <w:r w:rsidRPr="00FF78FF">
              <w:rPr>
                <w:rFonts w:eastAsia="Calibri" w:cs="Times New Roman"/>
                <w:color w:val="2B2B2B"/>
                <w:sz w:val="24"/>
                <w:szCs w:val="24"/>
                <w:shd w:val="clear" w:color="auto" w:fill="FFFFFF"/>
              </w:rPr>
              <w:t>остановлением Правительства КР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Положения и их мониторинг возложен на уполномоченный орган по развитию  субъектов предпринимательства.</w:t>
            </w:r>
          </w:p>
          <w:p w:rsidR="00B455B2" w:rsidRPr="00FF78FF" w:rsidRDefault="00B455B2" w:rsidP="00B455B2">
            <w:pPr>
              <w:ind w:firstLine="0"/>
              <w:jc w:val="left"/>
              <w:rPr>
                <w:rFonts w:cs="Times New Roman"/>
                <w:sz w:val="24"/>
                <w:szCs w:val="24"/>
              </w:rPr>
            </w:pPr>
            <w:r w:rsidRPr="00FF78FF">
              <w:rPr>
                <w:rFonts w:eastAsia="Calibri" w:cs="Times New Roman"/>
                <w:color w:val="2B2B2B"/>
                <w:sz w:val="24"/>
                <w:szCs w:val="24"/>
                <w:shd w:val="clear" w:color="auto" w:fill="FFFFFF"/>
              </w:rPr>
              <w:t>Также министерством было разработано и принято Правительством КР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(стикер).</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13</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20" w:history="1">
              <w:r w:rsidRPr="00FF78FF">
                <w:rPr>
                  <w:rStyle w:val="a7"/>
                  <w:rFonts w:cs="Times New Roman"/>
                  <w:bCs/>
                  <w:sz w:val="24"/>
                  <w:szCs w:val="24"/>
                </w:rPr>
                <w:t>www.proverka.kg</w:t>
              </w:r>
            </w:hyperlink>
            <w:r w:rsidRPr="00FF78FF">
              <w:rPr>
                <w:rStyle w:val="a7"/>
                <w:rFonts w:cs="Times New Roman"/>
                <w:bCs/>
                <w:sz w:val="24"/>
                <w:szCs w:val="24"/>
              </w:rPr>
              <w:t>.</w:t>
            </w:r>
          </w:p>
        </w:tc>
        <w:tc>
          <w:tcPr>
            <w:tcW w:w="1331" w:type="dxa"/>
            <w:gridSpan w:val="3"/>
          </w:tcPr>
          <w:p w:rsidR="008344DB" w:rsidRPr="00FF78FF" w:rsidRDefault="008344DB" w:rsidP="00823BF2">
            <w:pPr>
              <w:ind w:left="-66" w:right="-80" w:firstLine="168"/>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15.09.2018</w:t>
            </w:r>
          </w:p>
        </w:tc>
        <w:tc>
          <w:tcPr>
            <w:tcW w:w="3094" w:type="dxa"/>
            <w:gridSpan w:val="2"/>
          </w:tcPr>
          <w:p w:rsidR="008344DB" w:rsidRPr="00FF78FF" w:rsidRDefault="008344DB" w:rsidP="00735E03">
            <w:pPr>
              <w:ind w:right="-52" w:firstLine="0"/>
              <w:jc w:val="left"/>
              <w:rPr>
                <w:rFonts w:cs="Times New Roman"/>
                <w:sz w:val="24"/>
                <w:szCs w:val="24"/>
              </w:rPr>
            </w:pPr>
            <w:r w:rsidRPr="00FF78FF">
              <w:rPr>
                <w:rFonts w:cs="Times New Roman"/>
                <w:sz w:val="24"/>
                <w:szCs w:val="24"/>
              </w:rPr>
              <w:t xml:space="preserve">Подготовлен отчет и данный отчет размещен на веб-портале </w:t>
            </w:r>
            <w:hyperlink r:id="rId21"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Проведенный детальный мониторинг соблюдения </w:t>
            </w:r>
            <w:r w:rsidRPr="00FF78FF">
              <w:rPr>
                <w:rFonts w:cs="Times New Roman"/>
                <w:bCs/>
                <w:sz w:val="24"/>
                <w:szCs w:val="24"/>
              </w:rPr>
              <w:t>государственными контролирующими</w:t>
            </w:r>
            <w:r w:rsidRPr="00FF78FF">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Отчет за полугодие 2018 года размещен на портале в разделе аналитика  </w:t>
            </w:r>
          </w:p>
        </w:tc>
      </w:tr>
      <w:tr w:rsidR="008344DB" w:rsidRPr="00FF78FF"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3. Контроль за проведением администраторами процедур банкротства</w:t>
            </w:r>
          </w:p>
        </w:tc>
      </w:tr>
      <w:tr w:rsidR="008344DB" w:rsidRPr="00FF78FF" w:rsidTr="00823BF2">
        <w:tblPrEx>
          <w:tblLook w:val="04A0" w:firstRow="1" w:lastRow="0" w:firstColumn="1" w:lastColumn="0" w:noHBand="0" w:noVBand="1"/>
        </w:tblPrEx>
        <w:trPr>
          <w:trHeight w:val="311"/>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8: Назначение администратора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Разработка, внесение и принятие постановления ПКР</w:t>
            </w:r>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Минимизированы коррупционные возможности для назначения «своего администратора».</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(п.11.1).</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15</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Разработка, внесение и принятие постановления ПКР</w:t>
            </w:r>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п.9 признан утратившим силу).</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 xml:space="preserve">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w:t>
            </w:r>
            <w:r w:rsidRPr="00FF78FF">
              <w:rPr>
                <w:sz w:val="24"/>
                <w:szCs w:val="24"/>
              </w:rPr>
              <w:lastRenderedPageBreak/>
              <w:t>назначения в суде</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МЭ</w:t>
            </w:r>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Разработка, внесение и принятие постановления ПКР</w:t>
            </w:r>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lastRenderedPageBreak/>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п.14).</w:t>
            </w:r>
          </w:p>
        </w:tc>
      </w:tr>
      <w:tr w:rsidR="008344DB"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Минимизированы коррупционные возможности необоснованного отстранения администратора </w:t>
            </w:r>
            <w:r w:rsidRPr="00FF78FF">
              <w:rPr>
                <w:sz w:val="24"/>
                <w:szCs w:val="24"/>
              </w:rPr>
              <w:t>от исполнения своих обязанностей</w:t>
            </w:r>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п.18 признан утратившим силу).</w:t>
            </w:r>
          </w:p>
        </w:tc>
      </w:tr>
      <w:tr w:rsidR="008344DB" w:rsidRPr="00FF78FF" w:rsidTr="00823BF2">
        <w:trPr>
          <w:trHeight w:val="338"/>
        </w:trPr>
        <w:tc>
          <w:tcPr>
            <w:tcW w:w="15274" w:type="dxa"/>
            <w:gridSpan w:val="11"/>
            <w:shd w:val="clear" w:color="auto" w:fill="8DB3E2" w:themeFill="text2" w:themeFillTint="66"/>
          </w:tcPr>
          <w:p w:rsidR="008344DB" w:rsidRPr="00FF78FF" w:rsidRDefault="008344DB" w:rsidP="00735E03">
            <w:pPr>
              <w:ind w:left="-66" w:right="-66"/>
              <w:jc w:val="center"/>
              <w:rPr>
                <w:rFonts w:cs="Times New Roman"/>
                <w:b/>
                <w:sz w:val="24"/>
                <w:szCs w:val="24"/>
              </w:rPr>
            </w:pPr>
            <w:r w:rsidRPr="00FF78FF">
              <w:rPr>
                <w:rFonts w:cs="Times New Roman"/>
                <w:b/>
                <w:sz w:val="24"/>
                <w:szCs w:val="24"/>
              </w:rPr>
              <w:t>Коррупционный риск №10: Освобождение администратора от исполнения своих обязанностей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31.07.2018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Минимизированы коррупционные возможности необоснованного освобождения администратора </w:t>
            </w:r>
            <w:r w:rsidRPr="00FF78FF">
              <w:rPr>
                <w:sz w:val="24"/>
                <w:szCs w:val="24"/>
              </w:rPr>
              <w:t>от исполнения своих обязанностей</w:t>
            </w:r>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п.25 признан утратившим силу).</w:t>
            </w:r>
          </w:p>
        </w:tc>
      </w:tr>
      <w:tr w:rsidR="008344DB" w:rsidRPr="00FF78FF"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4. Ограничение конкуренции</w:t>
            </w:r>
          </w:p>
        </w:tc>
      </w:tr>
      <w:tr w:rsidR="008344DB"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lastRenderedPageBreak/>
              <w:t>Коррупционный риск № 11: Мониторинг за действиями государственных органов по ограничению конкуренции</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FF78FF" w:rsidRDefault="008344DB" w:rsidP="00823BF2">
            <w:pPr>
              <w:ind w:left="-66" w:right="-80" w:firstLine="98"/>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30.09.2018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утверждение постановления ПКР</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Исключены дискреционные полномочия МЭ КР</w:t>
            </w:r>
          </w:p>
        </w:tc>
      </w:tr>
      <w:tr w:rsidR="00B455B2" w:rsidRPr="00FF78FF" w:rsidTr="00823BF2">
        <w:tc>
          <w:tcPr>
            <w:tcW w:w="15274" w:type="dxa"/>
            <w:gridSpan w:val="11"/>
          </w:tcPr>
          <w:p w:rsidR="00B455B2" w:rsidRPr="00FF78FF" w:rsidRDefault="00EB08F6" w:rsidP="00B455B2">
            <w:pPr>
              <w:ind w:firstLine="0"/>
              <w:rPr>
                <w:rFonts w:eastAsia="Calibri" w:cs="Times New Roman"/>
                <w:b/>
                <w:sz w:val="24"/>
                <w:szCs w:val="24"/>
                <w:u w:val="single"/>
              </w:rPr>
            </w:pPr>
            <w:r w:rsidRPr="00FF78FF">
              <w:rPr>
                <w:rFonts w:eastAsia="Calibri" w:cs="Times New Roman"/>
                <w:b/>
                <w:sz w:val="24"/>
                <w:szCs w:val="24"/>
                <w:u w:val="single"/>
              </w:rPr>
              <w:t>Исполнено</w:t>
            </w:r>
          </w:p>
          <w:p w:rsidR="00EB08F6" w:rsidRPr="00FF78FF" w:rsidRDefault="00EB08F6" w:rsidP="00EB08F6">
            <w:pPr>
              <w:ind w:firstLine="0"/>
              <w:rPr>
                <w:rFonts w:eastAsia="Calibri" w:cs="Times New Roman"/>
                <w:sz w:val="24"/>
                <w:szCs w:val="24"/>
              </w:rPr>
            </w:pPr>
            <w:r w:rsidRPr="00FF78FF">
              <w:rPr>
                <w:rFonts w:eastAsia="Calibri" w:cs="Times New Roman"/>
                <w:sz w:val="24"/>
                <w:szCs w:val="24"/>
              </w:rPr>
              <w:t>Принято п</w:t>
            </w:r>
            <w:r w:rsidR="00B455B2" w:rsidRPr="00FF78FF">
              <w:rPr>
                <w:rFonts w:eastAsia="Calibri" w:cs="Times New Roman"/>
                <w:sz w:val="24"/>
                <w:szCs w:val="24"/>
              </w:rPr>
              <w:t>остановлени</w:t>
            </w:r>
            <w:r w:rsidRPr="00FF78FF">
              <w:rPr>
                <w:rFonts w:eastAsia="Calibri" w:cs="Times New Roman"/>
                <w:sz w:val="24"/>
                <w:szCs w:val="24"/>
              </w:rPr>
              <w:t>е</w:t>
            </w:r>
            <w:r w:rsidR="00B455B2" w:rsidRPr="00FF78FF">
              <w:rPr>
                <w:rFonts w:eastAsia="Calibri" w:cs="Times New Roman"/>
                <w:sz w:val="24"/>
                <w:szCs w:val="24"/>
              </w:rPr>
              <w:t xml:space="preserve"> </w:t>
            </w:r>
            <w:r w:rsidRPr="00FF78FF">
              <w:rPr>
                <w:rFonts w:eastAsia="Calibri" w:cs="Times New Roman"/>
                <w:sz w:val="24"/>
                <w:szCs w:val="24"/>
              </w:rPr>
              <w:t>Правительства КР «О</w:t>
            </w:r>
            <w:r w:rsidR="00B455B2" w:rsidRPr="00FF78FF">
              <w:rPr>
                <w:rFonts w:eastAsia="Calibri" w:cs="Times New Roman"/>
                <w:sz w:val="24"/>
                <w:szCs w:val="24"/>
              </w:rPr>
              <w:t xml:space="preserve"> внесении изменений в Положение о Министерстве экономики КР</w:t>
            </w:r>
            <w:r w:rsidRPr="00FF78FF">
              <w:rPr>
                <w:rFonts w:eastAsia="Calibri" w:cs="Times New Roman"/>
                <w:sz w:val="24"/>
                <w:szCs w:val="24"/>
              </w:rPr>
              <w:t>»  № 60 от 19.02.2019 г.</w:t>
            </w:r>
            <w:r w:rsidR="00B455B2" w:rsidRPr="00FF78FF">
              <w:rPr>
                <w:rFonts w:eastAsia="Calibri" w:cs="Times New Roman"/>
                <w:sz w:val="24"/>
                <w:szCs w:val="24"/>
              </w:rPr>
              <w:t xml:space="preserve"> </w:t>
            </w:r>
          </w:p>
        </w:tc>
      </w:tr>
      <w:tr w:rsidR="00294697" w:rsidRPr="00FF78FF" w:rsidTr="00823BF2">
        <w:tblPrEx>
          <w:tblLook w:val="04A0" w:firstRow="1" w:lastRow="0" w:firstColumn="1" w:lastColumn="0" w:noHBand="0" w:noVBand="1"/>
        </w:tblPrEx>
        <w:trPr>
          <w:trHeight w:val="396"/>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ЗОНА 5. Анализ регулятивного воздействия</w:t>
            </w:r>
          </w:p>
        </w:tc>
      </w:tr>
      <w:tr w:rsidR="00294697"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Коррупционный риск № 12: </w:t>
            </w:r>
            <w:r w:rsidRPr="00FF78FF">
              <w:rPr>
                <w:rFonts w:cs="Times New Roman"/>
                <w:b/>
                <w:bCs/>
                <w:sz w:val="24"/>
                <w:szCs w:val="24"/>
              </w:rPr>
              <w:t>Критерии отнесения проекта НПА подлежащему АРВ</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20</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Перечень исключений НПА, требующих проведения АРВ</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31.12.2018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внесение в АПКР проекта постановления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Минимизация коррупционной возможности для продвижения (лоббирования) НПА, регулирующего предпринимательскую деятельность, без проведения АРВ.</w:t>
            </w:r>
          </w:p>
        </w:tc>
      </w:tr>
      <w:tr w:rsidR="00B455B2" w:rsidRPr="00FF78FF" w:rsidTr="00823BF2">
        <w:tc>
          <w:tcPr>
            <w:tcW w:w="15274" w:type="dxa"/>
            <w:gridSpan w:val="11"/>
          </w:tcPr>
          <w:p w:rsidR="00B455B2" w:rsidRPr="00FF78FF" w:rsidRDefault="00B455B2" w:rsidP="00B455B2">
            <w:pPr>
              <w:ind w:firstLine="0"/>
              <w:rPr>
                <w:rFonts w:eastAsia="Calibri" w:cs="Times New Roman"/>
                <w:b/>
                <w:sz w:val="24"/>
                <w:szCs w:val="24"/>
                <w:u w:val="single"/>
              </w:rPr>
            </w:pPr>
            <w:r w:rsidRPr="00FF78FF">
              <w:rPr>
                <w:rFonts w:eastAsia="Calibri" w:cs="Times New Roman"/>
                <w:b/>
                <w:sz w:val="24"/>
                <w:szCs w:val="24"/>
                <w:u w:val="single"/>
              </w:rPr>
              <w:t>В процессе реализации</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Разработан проект постановления Правительства КР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Данным проектом предусматриваются следующие случаи, когда не требуется проводить АРВ к проектам НПА:</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о ратификации, присоединении и утверждении международных договоров;</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связанных с выполнением международных договоров;</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xml:space="preserve"> - предусматривающих правоотношения между государственными органами, органами местной власти и субъектами предпринимательства на добровольной основе;</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содержащих только ответственность за административное нарушение и/или уголовную ответственность;</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признанных в установленном законом порядке инициативы по отмене незаконных или неконституционных НПА;</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1C311D" w:rsidRPr="00FF78FF" w:rsidRDefault="00B455B2" w:rsidP="001C311D">
            <w:pPr>
              <w:ind w:firstLine="0"/>
              <w:rPr>
                <w:rFonts w:eastAsia="Calibri" w:cs="Times New Roman"/>
                <w:sz w:val="24"/>
                <w:szCs w:val="24"/>
              </w:rPr>
            </w:pPr>
            <w:r w:rsidRPr="00FF78FF">
              <w:rPr>
                <w:rFonts w:eastAsia="Calibri" w:cs="Times New Roman"/>
                <w:sz w:val="24"/>
                <w:szCs w:val="24"/>
              </w:rPr>
              <w:t>В настоящее время данный проект направлен на рассмотрение министерствам и ведомствам согласно Регламенту Правительства КР (исх. №17-1/17743 от 19.12.2018г.).</w:t>
            </w:r>
            <w:r w:rsidR="001C311D" w:rsidRPr="00FF78FF">
              <w:rPr>
                <w:rFonts w:eastAsia="Calibri" w:cs="Times New Roman"/>
                <w:sz w:val="24"/>
                <w:szCs w:val="24"/>
              </w:rPr>
              <w:t xml:space="preserve"> По результатам поступивших замечаний идет процесс доработки и снятия разногласий.</w:t>
            </w:r>
          </w:p>
          <w:p w:rsidR="00B455B2" w:rsidRPr="00FF78FF" w:rsidRDefault="001C311D" w:rsidP="001C311D">
            <w:pPr>
              <w:ind w:firstLine="0"/>
              <w:rPr>
                <w:rFonts w:cs="Times New Roman"/>
                <w:sz w:val="24"/>
                <w:szCs w:val="24"/>
              </w:rPr>
            </w:pPr>
            <w:r w:rsidRPr="00FF78FF">
              <w:rPr>
                <w:rFonts w:eastAsia="Calibri" w:cs="Times New Roman"/>
                <w:sz w:val="24"/>
                <w:szCs w:val="24"/>
              </w:rPr>
              <w:t>За исх. № 17-1/776 от 22.01.2019 года направлено продление в Совет безопасности КР и  Аппарат Правительства КР.</w:t>
            </w:r>
          </w:p>
        </w:tc>
      </w:tr>
      <w:tr w:rsidR="00294697" w:rsidRPr="00FF78FF"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Коррупционный риск № 13: </w:t>
            </w:r>
            <w:r w:rsidRPr="00FF78FF">
              <w:rPr>
                <w:rFonts w:cs="Times New Roman"/>
                <w:b/>
                <w:bCs/>
                <w:sz w:val="24"/>
                <w:szCs w:val="24"/>
              </w:rPr>
              <w:t>Механизм проведения общественных консультаций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21</w:t>
            </w:r>
          </w:p>
        </w:tc>
        <w:tc>
          <w:tcPr>
            <w:tcW w:w="4519" w:type="dxa"/>
            <w:gridSpan w:val="3"/>
          </w:tcPr>
          <w:p w:rsidR="008344DB" w:rsidRPr="00FF78FF" w:rsidRDefault="008344DB" w:rsidP="00735E03">
            <w:pPr>
              <w:ind w:firstLine="0"/>
              <w:contextualSpacing/>
              <w:jc w:val="left"/>
              <w:rPr>
                <w:sz w:val="24"/>
                <w:szCs w:val="24"/>
              </w:rPr>
            </w:pPr>
            <w:r w:rsidRPr="00FF78FF">
              <w:rPr>
                <w:sz w:val="24"/>
                <w:szCs w:val="24"/>
              </w:rPr>
              <w:t xml:space="preserve">Разработать специализированный портал по АРВ, который позволит в режиме on-line </w:t>
            </w:r>
            <w:r w:rsidRPr="00FF78FF">
              <w:rPr>
                <w:rFonts w:cs="Times New Roman"/>
                <w:bCs/>
                <w:sz w:val="24"/>
                <w:szCs w:val="24"/>
              </w:rPr>
              <w:t>усилить</w:t>
            </w:r>
            <w:r w:rsidRPr="00FF78FF">
              <w:rPr>
                <w:sz w:val="24"/>
                <w:szCs w:val="24"/>
              </w:rPr>
              <w:t xml:space="preserve"> консультативный процесс и принимать участие в обсуждениях НПА всех заинтересованных сторон и отслеживать статус НПА, к которым был </w:t>
            </w:r>
            <w:r w:rsidRPr="00FF78FF">
              <w:rPr>
                <w:sz w:val="24"/>
                <w:szCs w:val="24"/>
              </w:rPr>
              <w:lastRenderedPageBreak/>
              <w:t>применен АРВ.</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МЭ, МФ</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Разработан специализированный портал по АРВ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умышленного искажения анализа «затрат-выгод» при проведении АРВ.</w:t>
            </w:r>
          </w:p>
        </w:tc>
      </w:tr>
      <w:tr w:rsidR="008344DB" w:rsidRPr="00FF78FF" w:rsidTr="00823BF2">
        <w:trPr>
          <w:trHeight w:val="325"/>
        </w:trPr>
        <w:tc>
          <w:tcPr>
            <w:tcW w:w="15274" w:type="dxa"/>
            <w:gridSpan w:val="11"/>
            <w:shd w:val="clear" w:color="auto" w:fill="8DB3E2" w:themeFill="text2" w:themeFillTint="66"/>
          </w:tcPr>
          <w:p w:rsidR="008344DB" w:rsidRPr="00FF78FF" w:rsidRDefault="008344DB" w:rsidP="00735E03">
            <w:pPr>
              <w:ind w:left="-66" w:right="-66" w:firstLine="0"/>
              <w:jc w:val="center"/>
              <w:rPr>
                <w:rFonts w:cs="Times New Roman"/>
                <w:b/>
                <w:sz w:val="24"/>
                <w:szCs w:val="24"/>
              </w:rPr>
            </w:pPr>
            <w:r w:rsidRPr="00FF78FF">
              <w:rPr>
                <w:rFonts w:cs="Times New Roman"/>
                <w:b/>
                <w:sz w:val="24"/>
                <w:szCs w:val="24"/>
              </w:rPr>
              <w:lastRenderedPageBreak/>
              <w:t xml:space="preserve">Коррупционный риск № 14: </w:t>
            </w:r>
            <w:r w:rsidRPr="00FF78FF">
              <w:rPr>
                <w:rFonts w:cs="Times New Roman"/>
                <w:b/>
                <w:bCs/>
                <w:sz w:val="24"/>
                <w:szCs w:val="24"/>
              </w:rPr>
              <w:t>Доступ к информации о текущем статусе АРВ по действующему и планируемому законодательству</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22</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Создать открытую, единую и регулярно обновляемую информационную систему АРВ:</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базу НПА, регулирующих проведение АРВ в Кыргызской Республике;</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информацию о статусе проводимого АРВ, а также средства для on-line обсуждения;</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информацию о результатах мониторинга принятого НПА;</w:t>
            </w:r>
          </w:p>
          <w:p w:rsidR="008344DB" w:rsidRPr="00FF78FF" w:rsidRDefault="008344DB" w:rsidP="008344DB">
            <w:pPr>
              <w:pStyle w:val="a3"/>
              <w:numPr>
                <w:ilvl w:val="0"/>
                <w:numId w:val="2"/>
              </w:numPr>
              <w:spacing w:after="0" w:line="240" w:lineRule="auto"/>
              <w:rPr>
                <w:rFonts w:cs="Times New Roman"/>
                <w:bCs/>
                <w:sz w:val="24"/>
                <w:szCs w:val="24"/>
              </w:rPr>
            </w:pPr>
            <w:r w:rsidRPr="00FF78FF">
              <w:rPr>
                <w:rFonts w:ascii="Times New Roman" w:hAnsi="Times New Roman" w:cs="Times New Roman"/>
                <w:bCs/>
                <w:sz w:val="24"/>
                <w:szCs w:val="24"/>
              </w:rPr>
              <w:t>информацию о результатах оценки фактического регулятивного воздействия НПА.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МЮ, МЭ, МФ</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Разработан специализированный портал </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w:t>
            </w:r>
          </w:p>
        </w:tc>
      </w:tr>
      <w:tr w:rsidR="00B455B2" w:rsidRPr="00FF78FF" w:rsidTr="00823BF2">
        <w:tc>
          <w:tcPr>
            <w:tcW w:w="15274" w:type="dxa"/>
            <w:gridSpan w:val="11"/>
          </w:tcPr>
          <w:p w:rsidR="00B455B2" w:rsidRPr="00FF78FF" w:rsidRDefault="00850107" w:rsidP="00B455B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П.п. </w:t>
            </w:r>
            <w:r w:rsidR="00B455B2" w:rsidRPr="00FF78FF">
              <w:rPr>
                <w:rFonts w:eastAsia="Calibri" w:cs="Times New Roman"/>
                <w:b/>
                <w:sz w:val="24"/>
                <w:szCs w:val="24"/>
                <w:u w:val="single"/>
              </w:rPr>
              <w:t>21 и 22 Частично исполнен</w:t>
            </w:r>
            <w:r w:rsidRPr="00FF78FF">
              <w:rPr>
                <w:rFonts w:eastAsia="Calibri" w:cs="Times New Roman"/>
                <w:b/>
                <w:sz w:val="24"/>
                <w:szCs w:val="24"/>
                <w:u w:val="single"/>
              </w:rPr>
              <w:t>ы</w:t>
            </w:r>
          </w:p>
          <w:p w:rsidR="00B455B2" w:rsidRPr="00FF78FF" w:rsidRDefault="00B455B2" w:rsidP="00B455B2">
            <w:pPr>
              <w:ind w:right="-66" w:firstLine="0"/>
              <w:jc w:val="left"/>
              <w:rPr>
                <w:rFonts w:eastAsia="Calibri" w:cs="Times New Roman"/>
                <w:sz w:val="24"/>
                <w:szCs w:val="24"/>
              </w:rPr>
            </w:pPr>
            <w:r w:rsidRPr="00FF78FF">
              <w:rPr>
                <w:rFonts w:eastAsia="Calibri" w:cs="Times New Roman"/>
                <w:sz w:val="24"/>
                <w:szCs w:val="24"/>
              </w:rPr>
              <w:t>Разработка и запуск специализированного портала по АРВ и  регулярно обновляемой информационной системы АРВ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FF78FF" w:rsidRDefault="00B455B2" w:rsidP="001C311D">
            <w:pPr>
              <w:ind w:right="-66" w:firstLine="0"/>
              <w:jc w:val="left"/>
              <w:rPr>
                <w:rFonts w:cs="Times New Roman"/>
                <w:sz w:val="24"/>
                <w:szCs w:val="24"/>
              </w:rPr>
            </w:pPr>
            <w:r w:rsidRPr="00FF78FF">
              <w:rPr>
                <w:rFonts w:eastAsia="Calibri" w:cs="Times New Roman"/>
                <w:sz w:val="24"/>
                <w:szCs w:val="24"/>
              </w:rPr>
              <w:t>Вместе с тем, в рамках исполнения данных пунктов министерством ведется база данных АРВ. В новом сайте министерства (http://mineconom.gov.kg) запущена рубрика «База данных АРВ» в разделе «Предпринимательство», в котором  размещены все аналитические за</w:t>
            </w:r>
            <w:r w:rsidR="001C311D" w:rsidRPr="00FF78FF">
              <w:rPr>
                <w:rFonts w:eastAsia="Calibri" w:cs="Times New Roman"/>
                <w:sz w:val="24"/>
                <w:szCs w:val="24"/>
              </w:rPr>
              <w:t xml:space="preserve">писки за 2016, 2017 и 2018 годы, </w:t>
            </w:r>
            <w:r w:rsidR="001C311D" w:rsidRPr="00FF78FF">
              <w:rPr>
                <w:rFonts w:cs="Times New Roman"/>
                <w:sz w:val="24"/>
                <w:szCs w:val="24"/>
              </w:rPr>
              <w:t>а также поквартально за 2019 год.</w:t>
            </w:r>
          </w:p>
        </w:tc>
      </w:tr>
      <w:tr w:rsidR="00294697" w:rsidRPr="00FF78FF" w:rsidTr="00823BF2">
        <w:tc>
          <w:tcPr>
            <w:tcW w:w="15274" w:type="dxa"/>
            <w:gridSpan w:val="11"/>
            <w:shd w:val="clear" w:color="auto" w:fill="8DB3E2" w:themeFill="text2" w:themeFillTint="66"/>
          </w:tcPr>
          <w:p w:rsidR="00294697" w:rsidRPr="00FF78FF" w:rsidRDefault="00294697" w:rsidP="00735E03">
            <w:pPr>
              <w:ind w:left="-66" w:right="-66" w:firstLine="0"/>
              <w:jc w:val="center"/>
              <w:rPr>
                <w:rFonts w:cs="Times New Roman"/>
                <w:b/>
                <w:sz w:val="24"/>
                <w:szCs w:val="24"/>
              </w:rPr>
            </w:pPr>
            <w:r w:rsidRPr="00FF78FF">
              <w:rPr>
                <w:rFonts w:cs="Times New Roman"/>
                <w:b/>
                <w:sz w:val="24"/>
                <w:szCs w:val="24"/>
              </w:rPr>
              <w:t xml:space="preserve">Коррупционный риск № 15: </w:t>
            </w:r>
            <w:r w:rsidRPr="00FF78FF">
              <w:rPr>
                <w:rFonts w:cs="Times New Roman"/>
                <w:b/>
                <w:bCs/>
                <w:sz w:val="24"/>
                <w:szCs w:val="24"/>
              </w:rPr>
              <w:t>Повторное проведение АРВ при рассмотрении в ЖК КР</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23</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Внести в Аппарат ПКР  предложение по разработке порядка повторного проведения АРВ при внесении в законодательном органе дополнительных норм, регулирующих предпринимательскую сферу</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30.06.2018</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Внесение предложений в АПКР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Минимизация коррупционных возможностей для лоббирования интересов определенных лиц или групп лиц на стадии рассмотрения проекта НПА.</w:t>
            </w:r>
          </w:p>
        </w:tc>
      </w:tr>
      <w:tr w:rsidR="00B455B2" w:rsidRPr="00FF78FF" w:rsidTr="00823BF2">
        <w:tc>
          <w:tcPr>
            <w:tcW w:w="15274" w:type="dxa"/>
            <w:gridSpan w:val="11"/>
          </w:tcPr>
          <w:p w:rsidR="00850107" w:rsidRPr="00FF78FF" w:rsidRDefault="00850107" w:rsidP="00850107">
            <w:pPr>
              <w:ind w:firstLine="0"/>
              <w:rPr>
                <w:rFonts w:eastAsia="Calibri" w:cs="Times New Roman"/>
                <w:b/>
                <w:sz w:val="24"/>
                <w:szCs w:val="24"/>
                <w:u w:val="single"/>
              </w:rPr>
            </w:pPr>
            <w:r w:rsidRPr="00FF78FF">
              <w:rPr>
                <w:rFonts w:eastAsia="Calibri" w:cs="Times New Roman"/>
                <w:b/>
                <w:sz w:val="24"/>
                <w:szCs w:val="24"/>
                <w:u w:val="single"/>
              </w:rPr>
              <w:t>Исполнено</w:t>
            </w:r>
          </w:p>
          <w:p w:rsidR="00850107" w:rsidRPr="00FF78FF" w:rsidRDefault="001C311D" w:rsidP="00850107">
            <w:pPr>
              <w:ind w:firstLine="0"/>
              <w:rPr>
                <w:rFonts w:eastAsia="Calibri" w:cs="Times New Roman"/>
                <w:sz w:val="24"/>
                <w:szCs w:val="24"/>
              </w:rPr>
            </w:pPr>
            <w:r w:rsidRPr="00FF78FF">
              <w:rPr>
                <w:rFonts w:eastAsia="Calibri" w:cs="Times New Roman"/>
                <w:sz w:val="24"/>
                <w:szCs w:val="24"/>
              </w:rPr>
              <w:t>Во исполнение данного пункта Министерством</w:t>
            </w:r>
            <w:r w:rsidR="00850107" w:rsidRPr="00FF78FF">
              <w:rPr>
                <w:rFonts w:eastAsia="Calibri" w:cs="Times New Roman"/>
                <w:sz w:val="24"/>
                <w:szCs w:val="24"/>
              </w:rPr>
              <w:t xml:space="preserve"> было направлено письмо на имя Вице-премьер-министра КР Ж.Разакова направлено за исх.№10-1/9252 от 04.07.2018). с предложением инициировать законопроект, предусматривающий внесение изменений в Регламент Жогорку Кенеша КР.</w:t>
            </w:r>
          </w:p>
          <w:p w:rsidR="00B455B2" w:rsidRPr="00FF78FF" w:rsidRDefault="00850107" w:rsidP="00850107">
            <w:pPr>
              <w:ind w:firstLine="0"/>
              <w:jc w:val="left"/>
              <w:rPr>
                <w:rFonts w:cs="Times New Roman"/>
                <w:sz w:val="24"/>
                <w:szCs w:val="24"/>
              </w:rPr>
            </w:pPr>
            <w:r w:rsidRPr="00FF78FF">
              <w:rPr>
                <w:rFonts w:eastAsia="Calibri" w:cs="Times New Roman"/>
                <w:sz w:val="24"/>
                <w:szCs w:val="24"/>
              </w:rPr>
              <w:t>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Жогорку Кенеша Кыргызской Республики». (http://www.kenesh.kg/ru/article/show/4227/na-</w:t>
            </w:r>
            <w:r w:rsidRPr="00FF78FF">
              <w:rPr>
                <w:rFonts w:eastAsia="Calibri" w:cs="Times New Roman"/>
                <w:sz w:val="24"/>
                <w:szCs w:val="24"/>
              </w:rPr>
              <w:lastRenderedPageBreak/>
              <w:t>obshtestvennoe-obsuzhdenie-s-20-sentyabrya-2018-goda-vinositsya-proekti-zakonov-kirgizskoy-respubliki-o-vnesenii-izmeneniy-i-dopolneniy-v-zakon-kirgizskoy-respubliki-o-reglamente-zhogorku-kenesha-kirgizskoy-respubliki), инициатор: депутат Жогорку Кенеша Ч.Турсунбеков (Регистрация № 6-17494/18      18.09.2018).</w:t>
            </w:r>
          </w:p>
        </w:tc>
      </w:tr>
      <w:tr w:rsidR="00294697" w:rsidRPr="00FF78FF" w:rsidTr="00823BF2">
        <w:tc>
          <w:tcPr>
            <w:tcW w:w="15274" w:type="dxa"/>
            <w:gridSpan w:val="11"/>
            <w:shd w:val="clear" w:color="auto" w:fill="8DB3E2" w:themeFill="text2" w:themeFillTint="66"/>
          </w:tcPr>
          <w:p w:rsidR="00294697" w:rsidRPr="00FF78FF" w:rsidRDefault="00294697" w:rsidP="00735E03">
            <w:pPr>
              <w:ind w:left="-66" w:right="-66" w:firstLine="0"/>
              <w:jc w:val="center"/>
              <w:rPr>
                <w:rFonts w:cs="Times New Roman"/>
                <w:b/>
                <w:sz w:val="24"/>
                <w:szCs w:val="24"/>
              </w:rPr>
            </w:pPr>
            <w:r w:rsidRPr="00FF78FF">
              <w:rPr>
                <w:rFonts w:cs="Times New Roman"/>
                <w:b/>
                <w:sz w:val="24"/>
                <w:szCs w:val="24"/>
              </w:rPr>
              <w:lastRenderedPageBreak/>
              <w:t xml:space="preserve">Коррупционный риск № 16: </w:t>
            </w:r>
            <w:r w:rsidRPr="00FF78FF">
              <w:rPr>
                <w:rFonts w:cs="Times New Roman"/>
                <w:b/>
                <w:bCs/>
                <w:sz w:val="24"/>
                <w:szCs w:val="24"/>
              </w:rPr>
              <w:t>Оценка фактического регулирующего воздействия</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МЮ, 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утверждение постановления ПКР</w:t>
            </w:r>
          </w:p>
        </w:tc>
        <w:tc>
          <w:tcPr>
            <w:tcW w:w="4548" w:type="dxa"/>
            <w:vMerge w:val="restart"/>
          </w:tcPr>
          <w:p w:rsidR="008344DB" w:rsidRPr="00FF78FF" w:rsidRDefault="008344DB" w:rsidP="00735E03">
            <w:pPr>
              <w:ind w:firstLine="0"/>
              <w:rPr>
                <w:rFonts w:cs="Times New Roman"/>
                <w:sz w:val="24"/>
                <w:szCs w:val="24"/>
              </w:rPr>
            </w:pPr>
            <w:r w:rsidRPr="00FF78FF">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25</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порядок по сравнительному анализу результатов оценки фактического регуляторного воздействия действующих НПА и АРВ к проекту НПА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МЮ, 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утверждение постановления ПКР</w:t>
            </w:r>
          </w:p>
        </w:tc>
        <w:tc>
          <w:tcPr>
            <w:tcW w:w="4548" w:type="dxa"/>
            <w:vMerge/>
          </w:tcPr>
          <w:p w:rsidR="008344DB" w:rsidRPr="00FF78FF" w:rsidRDefault="008344DB" w:rsidP="00735E03">
            <w:pPr>
              <w:ind w:firstLine="0"/>
              <w:rPr>
                <w:rFonts w:cs="Times New Roman"/>
                <w:sz w:val="24"/>
                <w:szCs w:val="24"/>
              </w:rPr>
            </w:pP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оценку фактического регуляторного воздействия не менее 10 НПА, принятых в 2017 году</w:t>
            </w:r>
          </w:p>
        </w:tc>
        <w:tc>
          <w:tcPr>
            <w:tcW w:w="1331" w:type="dxa"/>
            <w:gridSpan w:val="3"/>
          </w:tcPr>
          <w:p w:rsidR="008344DB" w:rsidRPr="00FF78FF" w:rsidRDefault="008344DB" w:rsidP="006D4CCB">
            <w:pPr>
              <w:ind w:left="-66" w:right="-80" w:firstLine="0"/>
              <w:jc w:val="center"/>
              <w:rPr>
                <w:rFonts w:cs="Times New Roman"/>
                <w:sz w:val="24"/>
                <w:szCs w:val="24"/>
              </w:rPr>
            </w:pPr>
            <w:r w:rsidRPr="00FF78FF">
              <w:rPr>
                <w:rFonts w:cs="Times New Roman"/>
                <w:sz w:val="24"/>
                <w:szCs w:val="24"/>
              </w:rPr>
              <w:t>МЮ, МЭ, госорганы (по соглас</w:t>
            </w:r>
            <w:r w:rsidR="006D4CCB" w:rsidRPr="00FF78FF">
              <w:rPr>
                <w:rFonts w:cs="Times New Roman"/>
                <w:sz w:val="24"/>
                <w:szCs w:val="24"/>
              </w:rPr>
              <w:t>.</w:t>
            </w:r>
            <w:r w:rsidRPr="00FF78FF">
              <w:rPr>
                <w:rFonts w:cs="Times New Roman"/>
                <w:sz w:val="24"/>
                <w:szCs w:val="24"/>
              </w:rPr>
              <w:t>)</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31.03.2019</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Подготовлены и опубликованы отчеты на официальном сайте МЭ</w:t>
            </w:r>
          </w:p>
        </w:tc>
        <w:tc>
          <w:tcPr>
            <w:tcW w:w="4548" w:type="dxa"/>
            <w:vMerge w:val="restart"/>
          </w:tcPr>
          <w:p w:rsidR="008344DB" w:rsidRPr="00FF78FF" w:rsidRDefault="008344DB" w:rsidP="00735E03">
            <w:pPr>
              <w:ind w:firstLine="0"/>
              <w:rPr>
                <w:rFonts w:cs="Times New Roman"/>
                <w:sz w:val="24"/>
                <w:szCs w:val="24"/>
              </w:rPr>
            </w:pPr>
            <w:r w:rsidRPr="00FF78FF">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сравнительный анализ результатов ОФРВ действующих НПА и АРВ к проекту НПА</w:t>
            </w:r>
          </w:p>
        </w:tc>
        <w:tc>
          <w:tcPr>
            <w:tcW w:w="1331" w:type="dxa"/>
            <w:gridSpan w:val="3"/>
          </w:tcPr>
          <w:p w:rsidR="008344DB" w:rsidRPr="00FF78FF" w:rsidRDefault="008344DB" w:rsidP="006D4CCB">
            <w:pPr>
              <w:ind w:left="-66" w:right="-80" w:firstLine="0"/>
              <w:jc w:val="center"/>
              <w:rPr>
                <w:rFonts w:cs="Times New Roman"/>
                <w:sz w:val="24"/>
                <w:szCs w:val="24"/>
              </w:rPr>
            </w:pPr>
            <w:r w:rsidRPr="00FF78FF">
              <w:rPr>
                <w:rFonts w:cs="Times New Roman"/>
                <w:sz w:val="24"/>
                <w:szCs w:val="24"/>
              </w:rPr>
              <w:t>МЮ, МЭ, госорганы (по соглас</w:t>
            </w:r>
            <w:r w:rsidR="006D4CCB" w:rsidRPr="00FF78FF">
              <w:rPr>
                <w:rFonts w:cs="Times New Roman"/>
                <w:sz w:val="24"/>
                <w:szCs w:val="24"/>
              </w:rPr>
              <w:t>.</w:t>
            </w:r>
            <w:r w:rsidRPr="00FF78FF">
              <w:rPr>
                <w:rFonts w:cs="Times New Roman"/>
                <w:sz w:val="24"/>
                <w:szCs w:val="24"/>
              </w:rPr>
              <w:t>)</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31.03.2019</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Подготовлены и опубликованы отчеты на официальном сайте МЭ</w:t>
            </w:r>
          </w:p>
        </w:tc>
        <w:tc>
          <w:tcPr>
            <w:tcW w:w="4548" w:type="dxa"/>
            <w:vMerge/>
          </w:tcPr>
          <w:p w:rsidR="008344DB" w:rsidRPr="00FF78FF" w:rsidRDefault="008344DB" w:rsidP="00735E03">
            <w:pPr>
              <w:rPr>
                <w:rFonts w:cs="Times New Roman"/>
                <w:sz w:val="24"/>
                <w:szCs w:val="24"/>
              </w:rPr>
            </w:pPr>
          </w:p>
        </w:tc>
      </w:tr>
      <w:tr w:rsidR="00B455B2" w:rsidRPr="00FF78FF" w:rsidTr="00823BF2">
        <w:tc>
          <w:tcPr>
            <w:tcW w:w="15274" w:type="dxa"/>
            <w:gridSpan w:val="11"/>
          </w:tcPr>
          <w:p w:rsidR="00B455B2" w:rsidRPr="00FF78FF" w:rsidRDefault="00B455B2" w:rsidP="00B455B2">
            <w:pPr>
              <w:ind w:firstLine="0"/>
              <w:rPr>
                <w:rFonts w:eastAsia="Calibri" w:cs="Times New Roman"/>
                <w:b/>
                <w:sz w:val="24"/>
                <w:szCs w:val="24"/>
                <w:u w:val="single"/>
              </w:rPr>
            </w:pPr>
            <w:r w:rsidRPr="00FF78FF">
              <w:rPr>
                <w:rFonts w:eastAsia="Calibri" w:cs="Times New Roman"/>
                <w:b/>
                <w:sz w:val="24"/>
                <w:szCs w:val="24"/>
                <w:u w:val="single"/>
              </w:rPr>
              <w:t>П.п. 24-27</w:t>
            </w:r>
          </w:p>
          <w:p w:rsidR="00B455B2" w:rsidRPr="00FF78FF" w:rsidRDefault="00B455B2" w:rsidP="00B455B2">
            <w:pPr>
              <w:ind w:firstLine="0"/>
              <w:rPr>
                <w:rFonts w:eastAsia="Calibri" w:cs="Times New Roman"/>
                <w:b/>
                <w:sz w:val="24"/>
                <w:szCs w:val="24"/>
                <w:u w:val="single"/>
              </w:rPr>
            </w:pPr>
            <w:r w:rsidRPr="00FF78FF">
              <w:rPr>
                <w:rFonts w:eastAsia="Calibri" w:cs="Times New Roman"/>
                <w:b/>
                <w:sz w:val="24"/>
                <w:szCs w:val="24"/>
                <w:u w:val="single"/>
              </w:rPr>
              <w:t>В процессе реализации</w:t>
            </w:r>
          </w:p>
          <w:p w:rsidR="00DC32FF" w:rsidRPr="00FF78FF" w:rsidRDefault="00B455B2" w:rsidP="00DC32FF">
            <w:pPr>
              <w:ind w:firstLine="0"/>
              <w:contextualSpacing/>
              <w:rPr>
                <w:rFonts w:eastAsia="Calibri" w:cs="Times New Roman"/>
                <w:bCs/>
                <w:sz w:val="24"/>
                <w:szCs w:val="24"/>
              </w:rPr>
            </w:pPr>
            <w:r w:rsidRPr="00FF78FF">
              <w:rPr>
                <w:rFonts w:eastAsia="Calibri" w:cs="Times New Roman"/>
                <w:bCs/>
                <w:sz w:val="24"/>
                <w:szCs w:val="24"/>
              </w:rPr>
              <w:t>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КР «Об утверждении Методики проведения оценки фактического регуляторного воздействия». который  направлен на рассмотрение министерствам и ведомствам</w:t>
            </w:r>
            <w:r w:rsidR="00DC32FF" w:rsidRPr="00FF78FF">
              <w:rPr>
                <w:rFonts w:eastAsia="Calibri" w:cs="Times New Roman"/>
                <w:bCs/>
                <w:sz w:val="24"/>
                <w:szCs w:val="24"/>
              </w:rPr>
              <w:t>.  Данный проект прошел процесс согласования (исх.№17-1/18034 25 декабря 2018 года) и вносится на рассмотрение Минюста.</w:t>
            </w:r>
          </w:p>
          <w:p w:rsidR="00B455B2" w:rsidRPr="00FF78FF" w:rsidRDefault="00DC32FF" w:rsidP="00DC32FF">
            <w:pPr>
              <w:ind w:firstLine="0"/>
              <w:rPr>
                <w:rFonts w:cs="Times New Roman"/>
                <w:sz w:val="24"/>
                <w:szCs w:val="24"/>
              </w:rPr>
            </w:pPr>
            <w:r w:rsidRPr="00FF78FF">
              <w:rPr>
                <w:rFonts w:eastAsia="Calibri" w:cs="Times New Roman"/>
                <w:bCs/>
                <w:sz w:val="24"/>
                <w:szCs w:val="24"/>
              </w:rPr>
              <w:t>За исх. № 17-1/776 от 22.01.2019 года направлено письмо о продлении в Совета безопасности КР и Аппарат Правительства КР.</w:t>
            </w:r>
          </w:p>
        </w:tc>
      </w:tr>
      <w:tr w:rsidR="00294697" w:rsidRPr="00FF78FF"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ЗОНА 6. </w:t>
            </w:r>
            <w:r w:rsidRPr="00FF78FF">
              <w:rPr>
                <w:rFonts w:cs="Times New Roman"/>
                <w:b/>
                <w:bCs/>
                <w:sz w:val="24"/>
                <w:szCs w:val="24"/>
              </w:rPr>
              <w:t>Техническое регулирование</w:t>
            </w:r>
          </w:p>
        </w:tc>
      </w:tr>
      <w:tr w:rsidR="00294697" w:rsidRPr="00FF78FF" w:rsidTr="00823BF2">
        <w:tblPrEx>
          <w:tblLook w:val="04A0" w:firstRow="1" w:lastRow="0" w:firstColumn="1" w:lastColumn="0" w:noHBand="0" w:noVBand="1"/>
        </w:tblPrEx>
        <w:trPr>
          <w:trHeight w:val="297"/>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17: </w:t>
            </w:r>
            <w:r w:rsidRPr="00FF78FF">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color w:val="000000" w:themeColor="text1"/>
                <w:sz w:val="24"/>
                <w:szCs w:val="24"/>
              </w:rPr>
              <w:t>Внести изменения в Постановление Правительства КР от 4 августа 2006 г. №565</w:t>
            </w:r>
            <w:r w:rsidRPr="00FF78FF">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FF78FF">
              <w:rPr>
                <w:rStyle w:val="c1"/>
                <w:rFonts w:eastAsiaTheme="minorEastAsia"/>
                <w:bCs/>
                <w:color w:val="000000" w:themeColor="text1"/>
                <w:sz w:val="24"/>
                <w:szCs w:val="24"/>
              </w:rPr>
              <w:t>техническому</w:t>
            </w:r>
            <w:bookmarkStart w:id="2" w:name="#gprc00000006"/>
            <w:bookmarkEnd w:id="1"/>
            <w:r w:rsidRPr="00FF78FF">
              <w:rPr>
                <w:rStyle w:val="c1"/>
                <w:rFonts w:eastAsiaTheme="minorEastAsia"/>
                <w:bCs/>
                <w:color w:val="000000" w:themeColor="text1"/>
                <w:sz w:val="24"/>
                <w:szCs w:val="24"/>
              </w:rPr>
              <w:t xml:space="preserve"> регулированию</w:t>
            </w:r>
            <w:bookmarkEnd w:id="2"/>
            <w:r w:rsidRPr="00FF78FF">
              <w:rPr>
                <w:rStyle w:val="c1"/>
                <w:rFonts w:eastAsiaTheme="minorEastAsia"/>
                <w:bCs/>
                <w:color w:val="000000" w:themeColor="text1"/>
                <w:sz w:val="24"/>
                <w:szCs w:val="24"/>
              </w:rPr>
              <w:t>»</w:t>
            </w:r>
            <w:r w:rsidRPr="00FF78FF">
              <w:rPr>
                <w:color w:val="000000" w:themeColor="text1"/>
                <w:sz w:val="24"/>
                <w:szCs w:val="24"/>
              </w:rPr>
              <w:t xml:space="preserve"> в части разработки процедур формирования экспертных комиссий путем проведения открытого </w:t>
            </w:r>
            <w:r w:rsidRPr="00FF78FF">
              <w:rPr>
                <w:color w:val="000000" w:themeColor="text1"/>
                <w:sz w:val="24"/>
                <w:szCs w:val="24"/>
              </w:rPr>
              <w:lastRenderedPageBreak/>
              <w:t>конкурса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Обеспечена открытость процесса формирования экспертных комиссий</w:t>
            </w:r>
          </w:p>
        </w:tc>
      </w:tr>
      <w:tr w:rsidR="00B455B2" w:rsidRPr="00FF78FF" w:rsidTr="00823BF2">
        <w:tc>
          <w:tcPr>
            <w:tcW w:w="15274" w:type="dxa"/>
            <w:gridSpan w:val="11"/>
          </w:tcPr>
          <w:p w:rsidR="00B455B2" w:rsidRPr="00FF78FF" w:rsidRDefault="00B455B2" w:rsidP="00B455B2">
            <w:pPr>
              <w:ind w:firstLine="0"/>
              <w:rPr>
                <w:rFonts w:cs="Times New Roman"/>
                <w:b/>
                <w:sz w:val="24"/>
                <w:szCs w:val="24"/>
                <w:u w:val="single"/>
              </w:rPr>
            </w:pPr>
            <w:r w:rsidRPr="00FF78FF">
              <w:rPr>
                <w:rFonts w:cs="Times New Roman"/>
                <w:b/>
                <w:sz w:val="24"/>
                <w:szCs w:val="24"/>
                <w:u w:val="single"/>
              </w:rPr>
              <w:lastRenderedPageBreak/>
              <w:t>В процессе реализации</w:t>
            </w:r>
          </w:p>
          <w:p w:rsidR="00B455B2" w:rsidRPr="00FF78FF" w:rsidRDefault="00DC32FF" w:rsidP="00B455B2">
            <w:pPr>
              <w:ind w:firstLine="0"/>
              <w:rPr>
                <w:rFonts w:cs="Times New Roman"/>
                <w:sz w:val="24"/>
                <w:szCs w:val="24"/>
              </w:rPr>
            </w:pPr>
            <w:r w:rsidRPr="00FF78FF">
              <w:rPr>
                <w:rFonts w:cs="Times New Roman"/>
                <w:sz w:val="24"/>
                <w:szCs w:val="24"/>
              </w:rPr>
              <w:t xml:space="preserve">Проект постановления </w:t>
            </w:r>
            <w:r w:rsidR="009A0D77" w:rsidRPr="00FF78FF">
              <w:rPr>
                <w:rFonts w:cs="Times New Roman"/>
                <w:sz w:val="24"/>
                <w:szCs w:val="24"/>
              </w:rPr>
              <w:t>Правительства КР</w:t>
            </w:r>
            <w:r w:rsidRPr="00FF78FF">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 по техническому регулированию» находится на стадии пересогласования с М</w:t>
            </w:r>
            <w:r w:rsidR="009A0D77" w:rsidRPr="00FF78FF">
              <w:rPr>
                <w:rFonts w:cs="Times New Roman"/>
                <w:sz w:val="24"/>
                <w:szCs w:val="24"/>
              </w:rPr>
              <w:t>инистерством юистиции КР (исх.</w:t>
            </w:r>
            <w:r w:rsidRPr="00FF78FF">
              <w:rPr>
                <w:rFonts w:cs="Times New Roman"/>
                <w:sz w:val="24"/>
                <w:szCs w:val="24"/>
              </w:rPr>
              <w:t>№11-2/1904 от 12.02.</w:t>
            </w:r>
            <w:r w:rsidR="009A0D77" w:rsidRPr="00FF78FF">
              <w:rPr>
                <w:rFonts w:cs="Times New Roman"/>
                <w:sz w:val="24"/>
                <w:szCs w:val="24"/>
              </w:rPr>
              <w:t>20</w:t>
            </w:r>
            <w:r w:rsidRPr="00FF78FF">
              <w:rPr>
                <w:rFonts w:cs="Times New Roman"/>
                <w:sz w:val="24"/>
                <w:szCs w:val="24"/>
              </w:rPr>
              <w:t>19</w:t>
            </w:r>
            <w:r w:rsidR="009A0D77" w:rsidRPr="00FF78FF">
              <w:rPr>
                <w:rFonts w:cs="Times New Roman"/>
                <w:sz w:val="24"/>
                <w:szCs w:val="24"/>
              </w:rPr>
              <w:t xml:space="preserve"> г</w:t>
            </w:r>
            <w:r w:rsidRPr="00FF78FF">
              <w:rPr>
                <w:rFonts w:cs="Times New Roman"/>
                <w:sz w:val="24"/>
                <w:szCs w:val="24"/>
              </w:rPr>
              <w:t>.</w:t>
            </w:r>
            <w:r w:rsidR="009A0D77" w:rsidRPr="00FF78FF">
              <w:rPr>
                <w:rFonts w:cs="Times New Roman"/>
                <w:sz w:val="24"/>
                <w:szCs w:val="24"/>
              </w:rPr>
              <w:t>). Письмо о</w:t>
            </w:r>
            <w:r w:rsidRPr="00FF78FF">
              <w:rPr>
                <w:rFonts w:cs="Times New Roman"/>
                <w:sz w:val="24"/>
                <w:szCs w:val="24"/>
              </w:rPr>
              <w:t xml:space="preserve"> продлен</w:t>
            </w:r>
            <w:r w:rsidR="009A0D77" w:rsidRPr="00FF78FF">
              <w:rPr>
                <w:rFonts w:cs="Times New Roman"/>
                <w:sz w:val="24"/>
                <w:szCs w:val="24"/>
              </w:rPr>
              <w:t xml:space="preserve">ии сроков исполнения пункта до 30 апреля 2019 года направлено </w:t>
            </w:r>
            <w:r w:rsidRPr="00FF78FF">
              <w:rPr>
                <w:rFonts w:cs="Times New Roman"/>
                <w:sz w:val="24"/>
                <w:szCs w:val="24"/>
              </w:rPr>
              <w:t xml:space="preserve">Совета безопасности </w:t>
            </w:r>
            <w:r w:rsidR="009A0D77" w:rsidRPr="00FF78FF">
              <w:rPr>
                <w:rFonts w:cs="Times New Roman"/>
                <w:sz w:val="24"/>
                <w:szCs w:val="24"/>
              </w:rPr>
              <w:t xml:space="preserve">КР (исх.№ 11-2/1400 </w:t>
            </w:r>
            <w:r w:rsidRPr="00FF78FF">
              <w:rPr>
                <w:rFonts w:cs="Times New Roman"/>
                <w:sz w:val="24"/>
                <w:szCs w:val="24"/>
              </w:rPr>
              <w:t>от 01.02.</w:t>
            </w:r>
            <w:r w:rsidR="009A0D77" w:rsidRPr="00FF78FF">
              <w:rPr>
                <w:rFonts w:cs="Times New Roman"/>
                <w:sz w:val="24"/>
                <w:szCs w:val="24"/>
              </w:rPr>
              <w:t>2019 г.).</w:t>
            </w:r>
            <w:r w:rsidRPr="00FF78FF">
              <w:rPr>
                <w:rFonts w:cs="Times New Roman"/>
                <w:sz w:val="24"/>
                <w:szCs w:val="24"/>
              </w:rPr>
              <w:t xml:space="preserve"> </w:t>
            </w:r>
          </w:p>
        </w:tc>
      </w:tr>
      <w:tr w:rsidR="00294697"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18: </w:t>
            </w:r>
            <w:r w:rsidRPr="00FF78FF">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интегрированную информационную систему по техническому регулированию и интегрировать в информационную систему ЕЭК</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 ГКИТС</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30.06.2019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Разработана и внедрена информационная система</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FF78FF" w:rsidTr="00823BF2">
        <w:tc>
          <w:tcPr>
            <w:tcW w:w="15274" w:type="dxa"/>
            <w:gridSpan w:val="11"/>
          </w:tcPr>
          <w:p w:rsidR="00B455B2" w:rsidRPr="00FF78FF" w:rsidRDefault="00AB5004" w:rsidP="00B455B2">
            <w:pPr>
              <w:ind w:right="-66" w:firstLine="0"/>
              <w:jc w:val="left"/>
              <w:rPr>
                <w:rFonts w:eastAsia="Times New Roman" w:cs="Times New Roman"/>
                <w:b/>
                <w:sz w:val="24"/>
                <w:szCs w:val="24"/>
                <w:u w:val="single"/>
              </w:rPr>
            </w:pPr>
            <w:r w:rsidRPr="00FF78FF">
              <w:rPr>
                <w:rFonts w:eastAsia="Times New Roman" w:cs="Times New Roman"/>
                <w:b/>
                <w:sz w:val="24"/>
                <w:szCs w:val="24"/>
                <w:u w:val="single"/>
              </w:rPr>
              <w:t>Исполнено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«Тундук».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 xml:space="preserve">2. Информация о выданных декларациях о соответствии требованиям технических регламентов Евразийского экономического союза единой формы. </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«Тундук» 27 ноября 2018 года и внесена в Каталог «Ордо».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
          <w:p w:rsidR="00B455B2"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Реестры размещены на сайте ЕЭК http://www.eurasiancommission.org/ru/docs/Lists/List/techreg.aspx)</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30</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Опубликовывать на официальном сайте МЭ заключения экспертных комиссий по техническому регулированию</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sz w:val="24"/>
                <w:szCs w:val="24"/>
              </w:rPr>
              <w:t xml:space="preserve">В течение 10 дней после проведения </w:t>
            </w:r>
            <w:r w:rsidRPr="00FF78FF">
              <w:rPr>
                <w:sz w:val="24"/>
                <w:szCs w:val="24"/>
              </w:rPr>
              <w:lastRenderedPageBreak/>
              <w:t>экспертизы проектов ТРТР</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lastRenderedPageBreak/>
              <w:t>Отчеты опубликованы на официальном сайте МЭ</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Обеспечен открытый доступ к </w:t>
            </w:r>
            <w:r w:rsidRPr="00FF78FF">
              <w:rPr>
                <w:rFonts w:cs="Times New Roman"/>
                <w:bCs/>
                <w:sz w:val="24"/>
                <w:szCs w:val="24"/>
              </w:rPr>
              <w:t>заключениям экспертных комиссий по техническому регулированию</w:t>
            </w:r>
          </w:p>
        </w:tc>
      </w:tr>
      <w:tr w:rsidR="00B455B2" w:rsidRPr="00FF78FF" w:rsidTr="00823BF2">
        <w:tc>
          <w:tcPr>
            <w:tcW w:w="15274" w:type="dxa"/>
            <w:gridSpan w:val="11"/>
          </w:tcPr>
          <w:p w:rsidR="00B455B2" w:rsidRPr="00FF78FF" w:rsidRDefault="00B455B2" w:rsidP="006F5E95">
            <w:pPr>
              <w:ind w:firstLine="0"/>
              <w:rPr>
                <w:rFonts w:eastAsia="Times New Roman" w:cs="Times New Roman"/>
                <w:sz w:val="24"/>
                <w:szCs w:val="24"/>
              </w:rPr>
            </w:pPr>
            <w:r w:rsidRPr="00FF78FF">
              <w:rPr>
                <w:rFonts w:eastAsia="Times New Roman" w:cs="Times New Roman"/>
                <w:sz w:val="24"/>
                <w:szCs w:val="24"/>
              </w:rPr>
              <w:lastRenderedPageBreak/>
              <w:t>В текущем году проекты национальных технических регламентов на рассмотрение в МЭ не поступали, в этой связи заседания эксп</w:t>
            </w:r>
            <w:r w:rsidR="006F5E95" w:rsidRPr="00FF78FF">
              <w:rPr>
                <w:rFonts w:eastAsia="Times New Roman" w:cs="Times New Roman"/>
                <w:sz w:val="24"/>
                <w:szCs w:val="24"/>
              </w:rPr>
              <w:t>ертных комиссий не проводились.</w:t>
            </w:r>
          </w:p>
        </w:tc>
      </w:tr>
      <w:tr w:rsidR="00294697" w:rsidRPr="00FF78FF" w:rsidTr="00823BF2">
        <w:tblPrEx>
          <w:tblLook w:val="04A0" w:firstRow="1" w:lastRow="0" w:firstColumn="1" w:lastColumn="0" w:noHBand="0" w:noVBand="1"/>
        </w:tblPrEx>
        <w:trPr>
          <w:trHeight w:val="338"/>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ЗОНА 7. </w:t>
            </w:r>
            <w:r w:rsidRPr="00FF78FF">
              <w:rPr>
                <w:rFonts w:cs="Times New Roman"/>
                <w:b/>
                <w:bCs/>
                <w:sz w:val="24"/>
                <w:szCs w:val="24"/>
              </w:rPr>
              <w:t>Государственный материальный резерв</w:t>
            </w:r>
          </w:p>
        </w:tc>
      </w:tr>
      <w:tr w:rsidR="00294697"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19: </w:t>
            </w:r>
            <w:r w:rsidRPr="00FF78FF">
              <w:rPr>
                <w:rFonts w:cs="Times New Roman"/>
                <w:b/>
                <w:bCs/>
                <w:sz w:val="24"/>
                <w:szCs w:val="24"/>
              </w:rPr>
              <w:t>Анализ и прогноз пополнения товарно-материальных резервов</w:t>
            </w:r>
          </w:p>
        </w:tc>
      </w:tr>
      <w:tr w:rsidR="008344DB"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31</w:t>
            </w:r>
          </w:p>
        </w:tc>
        <w:tc>
          <w:tcPr>
            <w:tcW w:w="2909"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ФГМР при ПКР, МЭ</w:t>
            </w:r>
          </w:p>
        </w:tc>
        <w:tc>
          <w:tcPr>
            <w:tcW w:w="1357" w:type="dxa"/>
            <w:gridSpan w:val="3"/>
          </w:tcPr>
          <w:p w:rsidR="008344DB" w:rsidRPr="00FF78FF" w:rsidRDefault="008344DB" w:rsidP="00735E03">
            <w:pPr>
              <w:ind w:right="-52" w:firstLine="0"/>
              <w:rPr>
                <w:rFonts w:cs="Times New Roman"/>
                <w:sz w:val="24"/>
                <w:szCs w:val="24"/>
              </w:rPr>
            </w:pPr>
            <w:r w:rsidRPr="00FF78FF">
              <w:rPr>
                <w:rFonts w:cs="Times New Roman"/>
                <w:sz w:val="24"/>
                <w:szCs w:val="24"/>
              </w:rPr>
              <w:t>До конца 2018 года</w:t>
            </w:r>
          </w:p>
        </w:tc>
        <w:tc>
          <w:tcPr>
            <w:tcW w:w="1862" w:type="dxa"/>
            <w:gridSpan w:val="3"/>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7337"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823BF2">
        <w:tc>
          <w:tcPr>
            <w:tcW w:w="15274" w:type="dxa"/>
            <w:gridSpan w:val="11"/>
          </w:tcPr>
          <w:p w:rsidR="00B455B2" w:rsidRPr="00FF78FF" w:rsidRDefault="005D5FD2" w:rsidP="00B455B2">
            <w:pPr>
              <w:autoSpaceDE w:val="0"/>
              <w:autoSpaceDN w:val="0"/>
              <w:adjustRightInd w:val="0"/>
              <w:ind w:firstLine="0"/>
              <w:jc w:val="left"/>
              <w:rPr>
                <w:rFonts w:eastAsia="Calibri" w:cs="Times New Roman"/>
                <w:b/>
                <w:bCs/>
                <w:sz w:val="24"/>
                <w:szCs w:val="24"/>
                <w:u w:val="single"/>
              </w:rPr>
            </w:pPr>
            <w:r w:rsidRPr="00FF78FF">
              <w:rPr>
                <w:rFonts w:eastAsia="Calibri" w:cs="Times New Roman"/>
                <w:b/>
                <w:bCs/>
                <w:sz w:val="24"/>
                <w:szCs w:val="24"/>
                <w:u w:val="single"/>
              </w:rPr>
              <w:t>Исполнено</w:t>
            </w:r>
          </w:p>
          <w:p w:rsidR="006F5E95" w:rsidRPr="00B80360" w:rsidRDefault="00B455B2" w:rsidP="00EB08F6">
            <w:pPr>
              <w:ind w:firstLine="0"/>
              <w:jc w:val="left"/>
              <w:rPr>
                <w:rFonts w:cs="Times New Roman"/>
                <w:sz w:val="24"/>
                <w:szCs w:val="24"/>
              </w:rPr>
            </w:pPr>
            <w:r w:rsidRPr="00FF78FF">
              <w:rPr>
                <w:rFonts w:eastAsia="Calibri" w:cs="Times New Roman"/>
                <w:bCs/>
                <w:sz w:val="24"/>
                <w:szCs w:val="24"/>
              </w:rPr>
              <w:t>Рабочей группой, созданной приказом Фонда госматрезервов при ПКР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FF78FF">
              <w:rPr>
                <w:rFonts w:eastAsia="Calibri" w:cs="Times New Roman"/>
                <w:bCs/>
                <w:sz w:val="24"/>
                <w:szCs w:val="24"/>
              </w:rPr>
              <w:t>. В связи с тем, что Министерству экономики КР не делегировано право разработки методики формирования бюджета Министерством юстиции КР было предложено утвердить разработанную Методику совместным приказом</w:t>
            </w:r>
            <w:r w:rsidRPr="00FF78FF">
              <w:rPr>
                <w:rFonts w:eastAsia="Calibri" w:cs="Times New Roman"/>
                <w:bCs/>
                <w:sz w:val="24"/>
                <w:szCs w:val="24"/>
              </w:rPr>
              <w:t>.</w:t>
            </w:r>
            <w:r w:rsidR="005D5FD2" w:rsidRPr="00FF78FF">
              <w:rPr>
                <w:rFonts w:eastAsia="Calibri" w:cs="Times New Roman"/>
                <w:bCs/>
                <w:sz w:val="24"/>
                <w:szCs w:val="24"/>
              </w:rPr>
              <w:t xml:space="preserve"> </w:t>
            </w:r>
            <w:r w:rsidR="00EB08F6" w:rsidRPr="00FF78FF">
              <w:rPr>
                <w:rFonts w:eastAsia="Calibri" w:cs="Times New Roman"/>
                <w:bCs/>
                <w:sz w:val="24"/>
                <w:szCs w:val="24"/>
              </w:rPr>
              <w:t xml:space="preserve">Методология анализа и прогноза формирования бюджета Фонда государственных материальных резервов при ПКР утвержден совместным </w:t>
            </w:r>
            <w:r w:rsidR="005D5FD2" w:rsidRPr="00FF78FF">
              <w:rPr>
                <w:rFonts w:eastAsia="Calibri" w:cs="Times New Roman"/>
                <w:bCs/>
                <w:sz w:val="24"/>
                <w:szCs w:val="24"/>
              </w:rPr>
              <w:t xml:space="preserve">Приказом </w:t>
            </w:r>
            <w:r w:rsidR="00EB08F6" w:rsidRPr="00FF78FF">
              <w:rPr>
                <w:rFonts w:eastAsia="Calibri" w:cs="Times New Roman"/>
                <w:bCs/>
                <w:sz w:val="24"/>
                <w:szCs w:val="24"/>
              </w:rPr>
              <w:t>МЭ КР и ФГМР при ПКР №19 от 15.02.2019 и №24 от 20.02.2019 г.</w:t>
            </w:r>
          </w:p>
        </w:tc>
      </w:tr>
    </w:tbl>
    <w:p w:rsidR="008344DB" w:rsidRPr="00A02A25" w:rsidRDefault="008344DB" w:rsidP="008344DB">
      <w:pPr>
        <w:ind w:firstLine="0"/>
        <w:rPr>
          <w:rFonts w:cs="Times New Roman"/>
          <w:sz w:val="24"/>
          <w:szCs w:val="24"/>
        </w:rPr>
      </w:pPr>
    </w:p>
    <w:p w:rsidR="00265F1A" w:rsidRDefault="00265F1A"/>
    <w:sectPr w:rsidR="00265F1A" w:rsidSect="00735E03">
      <w:footerReference w:type="default" r:id="rId22"/>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DE7" w:rsidRDefault="00997DE7">
      <w:r>
        <w:separator/>
      </w:r>
    </w:p>
  </w:endnote>
  <w:endnote w:type="continuationSeparator" w:id="0">
    <w:p w:rsidR="00997DE7" w:rsidRDefault="00997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941C7C">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DE7" w:rsidRDefault="00997DE7">
      <w:r>
        <w:separator/>
      </w:r>
    </w:p>
  </w:footnote>
  <w:footnote w:type="continuationSeparator" w:id="0">
    <w:p w:rsidR="00997DE7" w:rsidRDefault="00997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30B9"/>
    <w:rsid w:val="00082D51"/>
    <w:rsid w:val="000A1379"/>
    <w:rsid w:val="000A4A7A"/>
    <w:rsid w:val="000C2AD2"/>
    <w:rsid w:val="000D02BE"/>
    <w:rsid w:val="000E0AA7"/>
    <w:rsid w:val="000E15FC"/>
    <w:rsid w:val="0011229E"/>
    <w:rsid w:val="00126CAA"/>
    <w:rsid w:val="0014370B"/>
    <w:rsid w:val="00162F71"/>
    <w:rsid w:val="00171856"/>
    <w:rsid w:val="0017225C"/>
    <w:rsid w:val="00181ED9"/>
    <w:rsid w:val="00195B4E"/>
    <w:rsid w:val="001A1E90"/>
    <w:rsid w:val="001A66D8"/>
    <w:rsid w:val="001B36CE"/>
    <w:rsid w:val="001C2758"/>
    <w:rsid w:val="001C311D"/>
    <w:rsid w:val="001D0E8F"/>
    <w:rsid w:val="001F19AF"/>
    <w:rsid w:val="001F45FB"/>
    <w:rsid w:val="0020073B"/>
    <w:rsid w:val="002115A7"/>
    <w:rsid w:val="00222784"/>
    <w:rsid w:val="00231690"/>
    <w:rsid w:val="002317AC"/>
    <w:rsid w:val="00232B2B"/>
    <w:rsid w:val="00233694"/>
    <w:rsid w:val="00241943"/>
    <w:rsid w:val="00255C0C"/>
    <w:rsid w:val="00265F1A"/>
    <w:rsid w:val="00290546"/>
    <w:rsid w:val="00294697"/>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C1BA8"/>
    <w:rsid w:val="003C6A71"/>
    <w:rsid w:val="003D6E89"/>
    <w:rsid w:val="003E065B"/>
    <w:rsid w:val="00411EAD"/>
    <w:rsid w:val="004339AC"/>
    <w:rsid w:val="00445E7A"/>
    <w:rsid w:val="00455B9D"/>
    <w:rsid w:val="00456CBD"/>
    <w:rsid w:val="004654F4"/>
    <w:rsid w:val="0049107D"/>
    <w:rsid w:val="004B733B"/>
    <w:rsid w:val="004D20A8"/>
    <w:rsid w:val="004E6C37"/>
    <w:rsid w:val="004E74D1"/>
    <w:rsid w:val="004F2AB3"/>
    <w:rsid w:val="004F6679"/>
    <w:rsid w:val="005148C6"/>
    <w:rsid w:val="005324B9"/>
    <w:rsid w:val="005336C9"/>
    <w:rsid w:val="00540441"/>
    <w:rsid w:val="00542734"/>
    <w:rsid w:val="00542997"/>
    <w:rsid w:val="00544D79"/>
    <w:rsid w:val="00554684"/>
    <w:rsid w:val="00557BC9"/>
    <w:rsid w:val="00561003"/>
    <w:rsid w:val="005620F8"/>
    <w:rsid w:val="00562790"/>
    <w:rsid w:val="005812F5"/>
    <w:rsid w:val="005935F5"/>
    <w:rsid w:val="00594337"/>
    <w:rsid w:val="005C0AC2"/>
    <w:rsid w:val="005C226D"/>
    <w:rsid w:val="005D5FD2"/>
    <w:rsid w:val="005E7620"/>
    <w:rsid w:val="005F2A41"/>
    <w:rsid w:val="005F3143"/>
    <w:rsid w:val="005F4054"/>
    <w:rsid w:val="005F6C31"/>
    <w:rsid w:val="00604548"/>
    <w:rsid w:val="00604AF0"/>
    <w:rsid w:val="00606B49"/>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20989"/>
    <w:rsid w:val="00727EE8"/>
    <w:rsid w:val="0073213A"/>
    <w:rsid w:val="00735E03"/>
    <w:rsid w:val="0074176E"/>
    <w:rsid w:val="00745619"/>
    <w:rsid w:val="00747C29"/>
    <w:rsid w:val="00755EA8"/>
    <w:rsid w:val="00763639"/>
    <w:rsid w:val="00765CFF"/>
    <w:rsid w:val="00782DE5"/>
    <w:rsid w:val="00782F19"/>
    <w:rsid w:val="0078548F"/>
    <w:rsid w:val="007B145B"/>
    <w:rsid w:val="007B5547"/>
    <w:rsid w:val="007D067B"/>
    <w:rsid w:val="007D0E73"/>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547A"/>
    <w:rsid w:val="00846E1E"/>
    <w:rsid w:val="00850107"/>
    <w:rsid w:val="00852EA6"/>
    <w:rsid w:val="0085441F"/>
    <w:rsid w:val="00857BA2"/>
    <w:rsid w:val="00863461"/>
    <w:rsid w:val="008870BA"/>
    <w:rsid w:val="008927BB"/>
    <w:rsid w:val="00893AE9"/>
    <w:rsid w:val="00894B6B"/>
    <w:rsid w:val="008B0B0A"/>
    <w:rsid w:val="008B44F0"/>
    <w:rsid w:val="008C6647"/>
    <w:rsid w:val="008D7065"/>
    <w:rsid w:val="008F0DCE"/>
    <w:rsid w:val="008F24AF"/>
    <w:rsid w:val="008F4FF3"/>
    <w:rsid w:val="00916E0B"/>
    <w:rsid w:val="00941C7C"/>
    <w:rsid w:val="00944CB9"/>
    <w:rsid w:val="00945AE1"/>
    <w:rsid w:val="0096309C"/>
    <w:rsid w:val="00964BDE"/>
    <w:rsid w:val="00983211"/>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F24C5"/>
    <w:rsid w:val="00A01505"/>
    <w:rsid w:val="00A05A22"/>
    <w:rsid w:val="00A05FC7"/>
    <w:rsid w:val="00A06524"/>
    <w:rsid w:val="00A257E5"/>
    <w:rsid w:val="00A2766E"/>
    <w:rsid w:val="00A2771A"/>
    <w:rsid w:val="00A27791"/>
    <w:rsid w:val="00A27FE1"/>
    <w:rsid w:val="00A34310"/>
    <w:rsid w:val="00A352EE"/>
    <w:rsid w:val="00A47D48"/>
    <w:rsid w:val="00A61E1B"/>
    <w:rsid w:val="00A73574"/>
    <w:rsid w:val="00A7414E"/>
    <w:rsid w:val="00A74481"/>
    <w:rsid w:val="00A828E2"/>
    <w:rsid w:val="00A970F8"/>
    <w:rsid w:val="00AB5004"/>
    <w:rsid w:val="00AC00DE"/>
    <w:rsid w:val="00AC3DA8"/>
    <w:rsid w:val="00AC574D"/>
    <w:rsid w:val="00AC7292"/>
    <w:rsid w:val="00AE0C7C"/>
    <w:rsid w:val="00AE4F79"/>
    <w:rsid w:val="00AE6FD1"/>
    <w:rsid w:val="00AF03AB"/>
    <w:rsid w:val="00B04A04"/>
    <w:rsid w:val="00B05B1C"/>
    <w:rsid w:val="00B15856"/>
    <w:rsid w:val="00B2567E"/>
    <w:rsid w:val="00B33518"/>
    <w:rsid w:val="00B4208E"/>
    <w:rsid w:val="00B455B2"/>
    <w:rsid w:val="00B678AA"/>
    <w:rsid w:val="00B73A71"/>
    <w:rsid w:val="00B76DBF"/>
    <w:rsid w:val="00B77DCF"/>
    <w:rsid w:val="00B9371D"/>
    <w:rsid w:val="00B955B2"/>
    <w:rsid w:val="00B96851"/>
    <w:rsid w:val="00B977AD"/>
    <w:rsid w:val="00BB63FE"/>
    <w:rsid w:val="00BC3FE6"/>
    <w:rsid w:val="00BC4D57"/>
    <w:rsid w:val="00BD075A"/>
    <w:rsid w:val="00BD7335"/>
    <w:rsid w:val="00BE347D"/>
    <w:rsid w:val="00BE3ADA"/>
    <w:rsid w:val="00BF094A"/>
    <w:rsid w:val="00BF4F19"/>
    <w:rsid w:val="00C22B88"/>
    <w:rsid w:val="00C25640"/>
    <w:rsid w:val="00C634C9"/>
    <w:rsid w:val="00C63547"/>
    <w:rsid w:val="00C645A0"/>
    <w:rsid w:val="00C7654E"/>
    <w:rsid w:val="00C87060"/>
    <w:rsid w:val="00CA0A0C"/>
    <w:rsid w:val="00CB629A"/>
    <w:rsid w:val="00CC395B"/>
    <w:rsid w:val="00CE4180"/>
    <w:rsid w:val="00D071DB"/>
    <w:rsid w:val="00D16938"/>
    <w:rsid w:val="00D302E0"/>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338C9"/>
    <w:rsid w:val="00E37B66"/>
    <w:rsid w:val="00E43D84"/>
    <w:rsid w:val="00E469A9"/>
    <w:rsid w:val="00E46D3F"/>
    <w:rsid w:val="00E55FDE"/>
    <w:rsid w:val="00E629E1"/>
    <w:rsid w:val="00E6314E"/>
    <w:rsid w:val="00E6510D"/>
    <w:rsid w:val="00E7692E"/>
    <w:rsid w:val="00E846D0"/>
    <w:rsid w:val="00E948BB"/>
    <w:rsid w:val="00E949E7"/>
    <w:rsid w:val="00EB08F6"/>
    <w:rsid w:val="00EB5E83"/>
    <w:rsid w:val="00EC6753"/>
    <w:rsid w:val="00ED05D9"/>
    <w:rsid w:val="00ED3586"/>
    <w:rsid w:val="00EE5D6E"/>
    <w:rsid w:val="00EF2B22"/>
    <w:rsid w:val="00EF557D"/>
    <w:rsid w:val="00EF7152"/>
    <w:rsid w:val="00F0357A"/>
    <w:rsid w:val="00F07BF5"/>
    <w:rsid w:val="00F11B0E"/>
    <w:rsid w:val="00F1399E"/>
    <w:rsid w:val="00F152CD"/>
    <w:rsid w:val="00F41B3F"/>
    <w:rsid w:val="00F46A03"/>
    <w:rsid w:val="00F57192"/>
    <w:rsid w:val="00F57C9F"/>
    <w:rsid w:val="00F65404"/>
    <w:rsid w:val="00F84653"/>
    <w:rsid w:val="00F850E6"/>
    <w:rsid w:val="00F94673"/>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B"/>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B"/>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2728"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hyperlink" Target="http://www.proverka.kg" TargetMode="Externa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fontTable" Target="fontTable.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14</Pages>
  <Words>5482</Words>
  <Characters>31252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1</cp:revision>
  <cp:lastPrinted>2019-02-25T10:27:00Z</cp:lastPrinted>
  <dcterms:created xsi:type="dcterms:W3CDTF">2019-02-25T06:45:00Z</dcterms:created>
  <dcterms:modified xsi:type="dcterms:W3CDTF">2019-02-25T13:10:00Z</dcterms:modified>
</cp:coreProperties>
</file>