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83" w:rsidRPr="00033283" w:rsidRDefault="00033283" w:rsidP="00033283">
      <w:pPr>
        <w:shd w:val="clear" w:color="auto" w:fill="FFFFFF"/>
        <w:spacing w:before="200"/>
        <w:outlineLvl w:val="1"/>
        <w:rPr>
          <w:rFonts w:ascii="Arial" w:eastAsia="Times New Roman" w:hAnsi="Arial" w:cs="Arial"/>
          <w:b/>
          <w:bCs/>
          <w:color w:val="2B2B2B"/>
          <w:szCs w:val="24"/>
          <w:lang w:eastAsia="ru-RU"/>
        </w:rPr>
      </w:pPr>
      <w:bookmarkStart w:id="0" w:name="_GoBack"/>
      <w:bookmarkEnd w:id="0"/>
      <w:r w:rsidRPr="00033283">
        <w:rPr>
          <w:rFonts w:ascii="Arial" w:eastAsia="Times New Roman" w:hAnsi="Arial" w:cs="Arial"/>
          <w:b/>
          <w:bCs/>
          <w:color w:val="2B2B2B"/>
          <w:szCs w:val="24"/>
          <w:lang w:eastAsia="ru-RU"/>
        </w:rPr>
        <w:t>План действий</w:t>
      </w:r>
    </w:p>
    <w:p w:rsidR="00033283" w:rsidRPr="00033283" w:rsidRDefault="00033283" w:rsidP="00033283">
      <w:pPr>
        <w:shd w:val="clear" w:color="auto" w:fill="FFFFFF"/>
        <w:spacing w:before="200"/>
        <w:outlineLvl w:val="1"/>
        <w:rPr>
          <w:rFonts w:ascii="Arial" w:eastAsia="Times New Roman" w:hAnsi="Arial" w:cs="Arial"/>
          <w:b/>
          <w:bCs/>
          <w:color w:val="2B2B2B"/>
          <w:szCs w:val="24"/>
          <w:lang w:eastAsia="ru-RU"/>
        </w:rPr>
      </w:pPr>
      <w:r w:rsidRPr="00033283">
        <w:rPr>
          <w:rFonts w:ascii="Arial" w:eastAsia="Times New Roman" w:hAnsi="Arial" w:cs="Arial"/>
          <w:b/>
          <w:bCs/>
          <w:color w:val="2B2B2B"/>
          <w:szCs w:val="24"/>
          <w:lang w:eastAsia="ru-RU"/>
        </w:rPr>
        <w:t>Кыргызской Республики по выполнению резолюции 1540 Совета Безопасности Организации Объединенных Наций на 2017-2019 годы</w:t>
      </w:r>
    </w:p>
    <w:p w:rsidR="00033283" w:rsidRPr="00033283" w:rsidRDefault="00033283" w:rsidP="00033283">
      <w:pPr>
        <w:shd w:val="clear" w:color="auto" w:fill="FFFFFF"/>
        <w:ind w:left="1134" w:right="1134"/>
        <w:rPr>
          <w:rFonts w:ascii="Arial" w:eastAsia="Times New Roman" w:hAnsi="Arial" w:cs="Arial"/>
          <w:color w:val="2B2B2B"/>
          <w:szCs w:val="24"/>
          <w:lang w:eastAsia="ru-RU"/>
        </w:rPr>
      </w:pPr>
      <w:r w:rsidRPr="00033283">
        <w:rPr>
          <w:rFonts w:eastAsia="Times New Roman" w:cs="Times New Roman"/>
          <w:b/>
          <w:bCs/>
          <w:color w:val="2B2B2B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"/>
      </w:tblGrid>
      <w:tr w:rsidR="00033283" w:rsidRPr="00033283" w:rsidTr="00033283">
        <w:trPr>
          <w:tblCellSpacing w:w="0" w:type="dxa"/>
        </w:trPr>
        <w:tc>
          <w:tcPr>
            <w:tcW w:w="20" w:type="dxa"/>
            <w:shd w:val="clear" w:color="auto" w:fill="FFFFFF"/>
            <w:vAlign w:val="center"/>
          </w:tcPr>
          <w:p w:rsidR="00033283" w:rsidRPr="00033283" w:rsidRDefault="00033283" w:rsidP="00033283">
            <w:pPr>
              <w:jc w:val="left"/>
              <w:rPr>
                <w:rFonts w:ascii="Trebuchet MS" w:eastAsia="Times New Roman" w:hAnsi="Trebuchet MS" w:cs="Times New Roman"/>
                <w:color w:val="2B2B2B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Trebuchet MS" w:eastAsia="Times New Roman" w:hAnsi="Trebuchet MS" w:cs="Times New Roman"/>
                <w:color w:val="2B2B2B"/>
                <w:szCs w:val="24"/>
                <w:lang w:eastAsia="ru-RU"/>
              </w:rPr>
            </w:pPr>
          </w:p>
        </w:tc>
      </w:tr>
    </w:tbl>
    <w:tbl>
      <w:tblPr>
        <w:tblW w:w="4959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3568"/>
        <w:gridCol w:w="4251"/>
        <w:gridCol w:w="1985"/>
        <w:gridCol w:w="1702"/>
        <w:gridCol w:w="2127"/>
      </w:tblGrid>
      <w:tr w:rsidR="0078172E" w:rsidRPr="00033283" w:rsidTr="0078172E"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>№</w:t>
            </w:r>
          </w:p>
        </w:tc>
        <w:tc>
          <w:tcPr>
            <w:tcW w:w="12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>Задача</w:t>
            </w:r>
          </w:p>
        </w:tc>
        <w:tc>
          <w:tcPr>
            <w:tcW w:w="1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>Ответственный орган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>Сроки исполнения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>Ресурсное обеспечение</w:t>
            </w:r>
          </w:p>
        </w:tc>
      </w:tr>
      <w:tr w:rsidR="00033283" w:rsidRPr="00033283" w:rsidTr="0078172E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spacing w:line="276" w:lineRule="atLeast"/>
              <w:ind w:left="720"/>
              <w:rPr>
                <w:rFonts w:eastAsia="Times New Roman" w:cs="Times New Roman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>1.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               </w:t>
            </w:r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 xml:space="preserve">В реализацию статьи 2 резолюции 1540 </w:t>
            </w:r>
            <w:proofErr w:type="gramStart"/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>СБ</w:t>
            </w:r>
            <w:proofErr w:type="gramEnd"/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 xml:space="preserve"> ООН</w:t>
            </w:r>
          </w:p>
        </w:tc>
      </w:tr>
      <w:tr w:rsidR="00033283" w:rsidRPr="00033283" w:rsidTr="0078172E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>Национальное законодательство</w:t>
            </w:r>
          </w:p>
        </w:tc>
      </w:tr>
      <w:tr w:rsidR="0078172E" w:rsidRPr="00033283" w:rsidTr="0078172E">
        <w:trPr>
          <w:trHeight w:val="927"/>
        </w:trPr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1.</w:t>
            </w:r>
          </w:p>
        </w:tc>
        <w:tc>
          <w:tcPr>
            <w:tcW w:w="12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Приведение</w:t>
            </w:r>
            <w:r w:rsidR="00667DF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 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законодательства Кыргызской Республики в части установления уголовной или административной ответственности за нарушения законодательства Кыргызской Республики в области экспортного контроля в соответствие с требованиями международных договоров в области нераспространения оружия массового поражения, участницей которых является Кыргызская Республика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1. Проведение сравнительного анализа Уголовного кодекса Кыргызской Республики и Кодекса Кыргызской Республики об административной ответственности на соответствие международным договорам в области нераспространения оружия массового поражения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МЮ, ЦПНиЭК</w:t>
            </w:r>
          </w:p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(по согласованию)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III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квартал 2018 года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Экспертная поддержка со стороны международных организаций</w:t>
            </w:r>
          </w:p>
        </w:tc>
      </w:tr>
      <w:tr w:rsidR="0078172E" w:rsidRPr="00033283" w:rsidTr="0078172E">
        <w:trPr>
          <w:trHeight w:val="926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2. Разработка законопроекта о внесении изменений в Уголовный кодекс Кыргызской Республики или Кодекс Кыргызской Республики об административной ответственности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МЭ, МВД, ГКДО, МЮ, ГКНБ, Генпрокуратура (по согласованию)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III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квартал 2019 года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 пределах выделенных бюджетных ассигнований, экспертная поддержка со стороны международных организаций</w:t>
            </w:r>
          </w:p>
        </w:tc>
      </w:tr>
      <w:tr w:rsidR="0078172E" w:rsidRPr="00033283" w:rsidTr="00FF55F6">
        <w:trPr>
          <w:trHeight w:val="2394"/>
        </w:trPr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57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spacing w:after="75"/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Осуществление мероприятий по присоединению к</w:t>
            </w:r>
            <w:r w:rsidR="00667DF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 </w:t>
            </w:r>
            <w:r w:rsidRPr="00033283">
              <w:rPr>
                <w:rFonts w:eastAsia="Times New Roman" w:cs="Times New Roman"/>
                <w:color w:val="2B2B2B"/>
                <w:spacing w:val="-15"/>
                <w:szCs w:val="24"/>
                <w:lang w:eastAsia="ru-RU"/>
              </w:rPr>
              <w:t>Протоколу о запрещении применения на войне удушливых, ядовитых или других подобных газов и бактериологических средств, подписанному 17 июня 1925 года в городе 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Женева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78172E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1.</w:t>
            </w:r>
            <w:r w:rsidRPr="00033283">
              <w:rPr>
                <w:rFonts w:eastAsia="Times New Roman" w:cs="Times New Roman"/>
                <w:color w:val="FFFFFF"/>
                <w:szCs w:val="24"/>
                <w:lang w:eastAsia="ru-RU"/>
              </w:rPr>
              <w:t>_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Определение международных</w:t>
            </w:r>
            <w:r w:rsidRPr="00033283">
              <w:rPr>
                <w:rFonts w:eastAsia="Times New Roman" w:cs="Times New Roman"/>
                <w:color w:val="2B2B2B"/>
                <w:szCs w:val="24"/>
                <w:lang w:val="ky-KG" w:eastAsia="ru-RU"/>
              </w:rPr>
              <w:t>процедур 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по присоединению Кыргызской Республики к Женевскому протоколу 1925 года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МИД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III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квартал 2017 года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 пределах выделенных бюджетных ассигнований</w:t>
            </w:r>
          </w:p>
        </w:tc>
      </w:tr>
      <w:tr w:rsidR="0078172E" w:rsidRPr="00033283" w:rsidTr="0078172E">
        <w:trPr>
          <w:trHeight w:val="2908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2.</w:t>
            </w:r>
            <w:r w:rsidRPr="00033283">
              <w:rPr>
                <w:rFonts w:eastAsia="Times New Roman" w:cs="Times New Roman"/>
                <w:color w:val="FFFFFF"/>
                <w:szCs w:val="24"/>
                <w:lang w:eastAsia="ru-RU"/>
              </w:rPr>
              <w:t>_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Разработка соответствующего проекта нормативного правового акта (внутригосударственные процедуры) по присоединению Кыргызской Республики к Женевскому протоколу 1925 года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МЭ, МЗ, ГИВФБ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IV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квартал 2017 года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57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 пределах выделенных бюджетных ассигнований, экспертная поддержка со стороны международных организаций</w:t>
            </w:r>
          </w:p>
        </w:tc>
      </w:tr>
      <w:tr w:rsidR="00033283" w:rsidRPr="00033283" w:rsidTr="0078172E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 xml:space="preserve">2. В реализацию статей 2, 3, 6 и 8 резолюции 1540 </w:t>
            </w:r>
            <w:proofErr w:type="gramStart"/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>СБ</w:t>
            </w:r>
            <w:proofErr w:type="gramEnd"/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 xml:space="preserve"> ООН</w:t>
            </w:r>
          </w:p>
        </w:tc>
      </w:tr>
      <w:tr w:rsidR="00033283" w:rsidRPr="00033283" w:rsidTr="0078172E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>Национальное законодательство</w:t>
            </w:r>
          </w:p>
        </w:tc>
      </w:tr>
      <w:tr w:rsidR="0078172E" w:rsidRPr="00033283" w:rsidTr="0078172E">
        <w:trPr>
          <w:trHeight w:val="956"/>
        </w:trPr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3.</w:t>
            </w:r>
          </w:p>
        </w:tc>
        <w:tc>
          <w:tcPr>
            <w:tcW w:w="12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57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Приведение законодательства Кыргызской Республики в соответствие с положениями КЗХО в целях обеспечения выполнения Кыргызской Республикой международных обязательств и создания эффективной системы контроля над списочными химикатами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1</w:t>
            </w:r>
            <w:r w:rsidRPr="00033283">
              <w:rPr>
                <w:rFonts w:eastAsia="Times New Roman" w:cs="Times New Roman"/>
                <w:color w:val="FFFFFF"/>
                <w:szCs w:val="24"/>
                <w:lang w:eastAsia="ru-RU"/>
              </w:rPr>
              <w:t>._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Проведение консультативных мероприятий по разъяснению целей и задач КЗХО (проведение форумов, заседаний, общественных обсуждений)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МЭ, МЗ, МСХППМ, МЧС, МЮ, ГАООСЛХ, ЦПНиЭК</w:t>
            </w:r>
          </w:p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(по согласованию)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I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квартал 2018 года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 пределах бюджетных ассигнований с привлечением экспертной поддержки со стороны международных организаций</w:t>
            </w:r>
          </w:p>
        </w:tc>
      </w:tr>
      <w:tr w:rsidR="0078172E" w:rsidRPr="00033283" w:rsidTr="0078172E">
        <w:trPr>
          <w:trHeight w:val="956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2. Разработка и внесение в Правительство Кыргызской Республики проекта постановления Правительства Кыргызской Республики, предусматривающего меры по реализации Конвенции о запрещении разработки, производства, накопления запасов, применения химического оружия и его уничтожении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МЭ, МЗ, МСХППМ, МЧС, ГАООСЛХ,</w:t>
            </w:r>
          </w:p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ЦПНиЭК</w:t>
            </w:r>
          </w:p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(по согласованию)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I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квартал 2018 года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 пределах бюджетных ассигнований с привлечением экспертной поддержки со стороны международных организаций</w:t>
            </w:r>
          </w:p>
        </w:tc>
      </w:tr>
      <w:tr w:rsidR="0078172E" w:rsidRPr="00033283" w:rsidTr="0078172E"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4.</w:t>
            </w:r>
          </w:p>
        </w:tc>
        <w:tc>
          <w:tcPr>
            <w:tcW w:w="12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Обеспечение выполнения Кыргызской Республикой положений КБТО в полном объеме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1.</w:t>
            </w:r>
            <w:r w:rsidRPr="00033283">
              <w:rPr>
                <w:rFonts w:eastAsia="Times New Roman" w:cs="Times New Roman"/>
                <w:color w:val="FFFFFF"/>
                <w:szCs w:val="24"/>
                <w:lang w:eastAsia="ru-RU"/>
              </w:rPr>
              <w:t>_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Проведение информационных мероприятий по разъяснению целей и задач КБТО (проведение форумов, заседаний, общественных обсуждений)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МЭ, МЗ, МЧС, МСХППМ, ГИВФБ, ГАООСЛХ, НАН, ЦПНиЭК 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br/>
              <w:t>(по согласованию)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III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квартал 2017 года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Экспертная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поддержка со стороны международных организаций</w:t>
            </w:r>
          </w:p>
        </w:tc>
      </w:tr>
      <w:tr w:rsidR="0078172E" w:rsidRPr="00033283" w:rsidTr="0078172E"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2. Разработка и внесение в Правительство Кыргызской Республики проекта постановления Правительства Кыргызской Республики об определении уполномоченного органа по реализации Конвенции о запрещении разработки, производства, накопления запасов бактериологического (биологического) и токсинного оружия и об их уничтожении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МЭ, МЗ, МЧС, МСХППМ, ГИВФБ, ГАООСЛХ,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НАН (по согласованию)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I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квартал 2018 года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 пределах выделенных бюджетных ассигнований с привлечением экспертной поддержки со стороны международных организаций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</w:tr>
      <w:tr w:rsidR="0078172E" w:rsidRPr="00033283" w:rsidTr="0078172E"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3. Разработка и внесение в Правительство Кыргызской Республики проекта постановления Правительства Кыргызской Республики, предусматривающего меры по реализации Конвенции о 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lastRenderedPageBreak/>
              <w:t>запрещении разработки, производства, накопления запасов бактериологического (биологического) и токсинного оружия и об их уничтожении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57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lastRenderedPageBreak/>
              <w:t>Уполномоченный государственный орган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I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квартал 2019 года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В пределах выделенных бюджетных ассигнований с привлечением экспертной 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lastRenderedPageBreak/>
              <w:t>поддержки со стороны международных организаций</w:t>
            </w:r>
          </w:p>
        </w:tc>
      </w:tr>
      <w:tr w:rsidR="0078172E" w:rsidRPr="00033283" w:rsidTr="0078172E"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4. Разработка проекта постановления Правительства Кыргызской Республики «О режимной комиссии по </w:t>
            </w:r>
            <w:proofErr w:type="gram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контролю за</w:t>
            </w:r>
            <w:proofErr w:type="gramEnd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 соблюдением требований биологической безопасности в организациях, работающих с микроорганизмами 1-4 групп патогенности»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II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квартал 2018 года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 пределах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выделенных бюджетных ассигнований</w:t>
            </w:r>
          </w:p>
        </w:tc>
      </w:tr>
      <w:tr w:rsidR="0078172E" w:rsidRPr="00033283" w:rsidTr="0078172E"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5.</w:t>
            </w:r>
          </w:p>
        </w:tc>
        <w:tc>
          <w:tcPr>
            <w:tcW w:w="12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Приведение законодательства Кыргызской Республики в сфере экспортного контроля в соответствие с международными договорами по нераспространению оружия массового поражения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1. Разработка проекта Закона Кыргызской Республики «О внесении изменений в Закон Кыргызской Республики «Об экспортном контроле» от 23 января 2003 года № 30»</w:t>
            </w:r>
            <w:r w:rsidR="00FF55F6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МЭ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IV квартал 2017 года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 пределах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выделенных бюджетных ассигнований с привлечением экспертной поддержки со стороны международных организаций</w:t>
            </w:r>
          </w:p>
        </w:tc>
      </w:tr>
      <w:tr w:rsidR="0078172E" w:rsidRPr="00033283" w:rsidTr="0078172E"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2. Разработка проекта постановления Правительства Кыргызской Республики «O </w:t>
            </w:r>
            <w:proofErr w:type="gram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внесении</w:t>
            </w:r>
            <w:proofErr w:type="gramEnd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 изменений и дополнений в постановление Правительства Кыргызской Республики «О дальнейших мерах по совершенствованию национальной системы экспортного контроля в Кыргызской Республике» от 27 октября 2010 года № 257»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МЭ, ЦПНиЭК</w:t>
            </w:r>
          </w:p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(по согласованию)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I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квартал 2018 года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 пределах выделенных бюджетных ассигнований, экспертная поддержка со стороны международных организаций</w:t>
            </w:r>
          </w:p>
        </w:tc>
      </w:tr>
      <w:tr w:rsidR="00033283" w:rsidRPr="00033283" w:rsidTr="0078172E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lastRenderedPageBreak/>
              <w:t xml:space="preserve">3. В реализацию статьи 3 резолюции 1540 </w:t>
            </w:r>
            <w:proofErr w:type="gramStart"/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>СБ</w:t>
            </w:r>
            <w:proofErr w:type="gramEnd"/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 xml:space="preserve"> ООН</w:t>
            </w:r>
          </w:p>
        </w:tc>
      </w:tr>
      <w:tr w:rsidR="00033283" w:rsidRPr="00033283" w:rsidTr="0078172E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>Практические действия</w:t>
            </w:r>
          </w:p>
        </w:tc>
      </w:tr>
      <w:tr w:rsidR="0078172E" w:rsidRPr="00033283" w:rsidTr="00FF55F6">
        <w:trPr>
          <w:trHeight w:val="3528"/>
        </w:trPr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6.</w:t>
            </w:r>
          </w:p>
        </w:tc>
        <w:tc>
          <w:tcPr>
            <w:tcW w:w="12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Обеспечение физической защиты источников ионизирующего излучения и радиоактивных хвостохранилищ, горных отвалов объектов горнорудного производства, опасных отходов химических веществ и отходов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1. Разработка и проведение мероприятий по изоляции и утилизации от окружающей среды пунктов захоронения (мест содержания), источников ионизирующего излучения, радиоактивных материалов, компонентного ракетного топлива (меланж и самин) с последующей рекультивацией и обеспечением физической защиты объектов организация оптимальной системы мониторинга данных </w:t>
            </w:r>
            <w:r w:rsidRPr="00667DF3">
              <w:rPr>
                <w:rFonts w:ascii="Arial" w:eastAsia="Times New Roman" w:hAnsi="Arial" w:cs="Arial"/>
                <w:noProof/>
                <w:color w:val="2B2B2B"/>
                <w:szCs w:val="24"/>
                <w:lang w:eastAsia="ru-RU"/>
              </w:rPr>
              <w:drawing>
                <wp:inline distT="0" distB="0" distL="0" distR="0" wp14:anchorId="1CFB875D" wp14:editId="7884BFF1">
                  <wp:extent cx="44450" cy="5715"/>
                  <wp:effectExtent l="0" t="0" r="0" b="0"/>
                  <wp:docPr id="1" name="Рисунок 1" descr="http://cbd.minjust.gov.kg/act/img/ru-ru/100166?property=tekst&amp;src=image003.png&amp;cl=ru-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bd.minjust.gov.kg/act/img/ru-ru/100166?property=tekst&amp;src=image003.png&amp;cl=ru-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захоронений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МЧС, МЗ, ГАООСЛХ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До конца 2018 года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 пределах выделенных бюджетных ассигнований и выделенных донорских средств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</w:tr>
      <w:tr w:rsidR="0078172E" w:rsidRPr="00033283" w:rsidTr="0078172E">
        <w:trPr>
          <w:trHeight w:val="848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2. Обеспечение физической защиты источников ионизирующего излучения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До конца 2017 года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 пределах выделенных бюджетных ассигнований</w:t>
            </w:r>
          </w:p>
        </w:tc>
      </w:tr>
      <w:tr w:rsidR="0078172E" w:rsidRPr="00033283" w:rsidTr="0078172E">
        <w:trPr>
          <w:trHeight w:val="1932"/>
        </w:trPr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7.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  <w:tc>
          <w:tcPr>
            <w:tcW w:w="12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Предотвращение незаконного перемещения ядерных и других радиоактивных материалов на территории Кыргызской Республики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1. При участии технической миссии МАГАТЭ и других доноров определение количества необходимых портативных дозиметрических приборов.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ГТС, ГПС, МЗ, МСХППМ, МЧС, ГИВФБ, ГАООСЛХ</w:t>
            </w:r>
            <w:proofErr w:type="gram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,</w:t>
            </w:r>
            <w:r w:rsidRPr="00033283">
              <w:rPr>
                <w:rFonts w:eastAsia="Times New Roman" w:cs="Times New Roman"/>
                <w:color w:val="2B2B2B"/>
                <w:szCs w:val="24"/>
                <w:lang w:val="ky-KG" w:eastAsia="ru-RU"/>
              </w:rPr>
              <w:t>Г</w:t>
            </w:r>
            <w:proofErr w:type="gramEnd"/>
            <w:r w:rsidRPr="00033283">
              <w:rPr>
                <w:rFonts w:eastAsia="Times New Roman" w:cs="Times New Roman"/>
                <w:color w:val="2B2B2B"/>
                <w:szCs w:val="24"/>
                <w:lang w:val="ky-KG" w:eastAsia="ru-RU"/>
              </w:rPr>
              <w:t>енштаб (по согласованию)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III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IV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кварталы 2017 года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При наличии донорских средств.</w:t>
            </w:r>
          </w:p>
        </w:tc>
      </w:tr>
      <w:tr w:rsidR="0078172E" w:rsidRPr="00033283" w:rsidTr="0078172E">
        <w:trPr>
          <w:trHeight w:val="303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2.Утверждение количества необходимых портативных дозиметрических приборов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ГТС, ГПС, МЗ, МСХППМ, МЧС, ГИВФБ, </w:t>
            </w:r>
            <w:proofErr w:type="spell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ГАООСЛХ</w:t>
            </w:r>
            <w:proofErr w:type="gram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,Г</w:t>
            </w:r>
            <w:proofErr w:type="gramEnd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енштаб</w:t>
            </w:r>
            <w:proofErr w:type="spellEnd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III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IV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кварталы 2017 года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При наличии донорских средств</w:t>
            </w:r>
          </w:p>
        </w:tc>
      </w:tr>
      <w:tr w:rsidR="0078172E" w:rsidRPr="00033283" w:rsidTr="0078172E"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3. Закупка портативных 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lastRenderedPageBreak/>
              <w:t>дозиметрических приборов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lastRenderedPageBreak/>
              <w:t xml:space="preserve">ГТС, ГПС, МЗ, 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lastRenderedPageBreak/>
              <w:t>МСХППМ, МЧС, ГИВФБ, ГАООСЛХ, Генштаб</w:t>
            </w:r>
            <w:r w:rsidRPr="00033283">
              <w:rPr>
                <w:rFonts w:eastAsia="Times New Roman" w:cs="Times New Roman"/>
                <w:i/>
                <w:iCs/>
                <w:color w:val="2B2B2B"/>
                <w:szCs w:val="24"/>
                <w:lang w:eastAsia="ru-RU"/>
              </w:rPr>
              <w:t> 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(по согласованию)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lastRenderedPageBreak/>
              <w:t xml:space="preserve">IV квартал 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lastRenderedPageBreak/>
              <w:t>2018 года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lastRenderedPageBreak/>
              <w:t xml:space="preserve">При наличии 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lastRenderedPageBreak/>
              <w:t>донорских средств</w:t>
            </w:r>
          </w:p>
        </w:tc>
      </w:tr>
      <w:tr w:rsidR="0078172E" w:rsidRPr="00033283" w:rsidTr="0078172E">
        <w:trPr>
          <w:trHeight w:val="289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4. Определение пунктов пропуска, нуждающихся в переносе радиационных портальных мониторов на новые места дислокации с учетом вступления Кыргызской Республики в ЕАЭС и реконструкции пунктов пропуска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ГТС, ГПС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III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квартал 2017 года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 пределах выделенных бюджетных ассигнований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</w:tr>
      <w:tr w:rsidR="0078172E" w:rsidRPr="00033283" w:rsidTr="0078172E">
        <w:trPr>
          <w:trHeight w:val="289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5. Меры по физическому перемещению РПМ (демонтаж, перевозка, установка, настройка, сдача в эксплуатацию) на новые места дислокации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ГТС, ГПС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2017-2019 годы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При наличии донорских средств</w:t>
            </w:r>
          </w:p>
        </w:tc>
      </w:tr>
      <w:tr w:rsidR="0078172E" w:rsidRPr="00033283" w:rsidTr="0078172E">
        <w:trPr>
          <w:trHeight w:val="289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8.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Обеспечение учета и контроля ядерных материалов и источников ионизирующего излучения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Проведение инвентаризации источников ионизирующего излучения, составление регистра ИИИ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ГАООСЛХ, МЗ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IV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квартал 2017 года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 пределах выделенных бюджетных ассигнований и выделенных донорских средств</w:t>
            </w:r>
          </w:p>
        </w:tc>
      </w:tr>
      <w:tr w:rsidR="00033283" w:rsidRPr="00033283" w:rsidTr="0078172E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 xml:space="preserve">4. В реализацию статьи 6 резолюции 1540 </w:t>
            </w:r>
            <w:proofErr w:type="gramStart"/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>СБ</w:t>
            </w:r>
            <w:proofErr w:type="gramEnd"/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 xml:space="preserve"> ООН</w:t>
            </w:r>
          </w:p>
        </w:tc>
      </w:tr>
      <w:tr w:rsidR="00033283" w:rsidRPr="00033283" w:rsidTr="0078172E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>Национальное законодательство</w:t>
            </w:r>
          </w:p>
        </w:tc>
      </w:tr>
      <w:tr w:rsidR="0078172E" w:rsidRPr="00033283" w:rsidTr="0078172E"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9.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Актуализация списков контролируемой продукции товаров двойного назначения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Внесение изменений и дополнений в Национальный контрольный список Кыргызской Республики контролируемой продукции, утвержденный постановлением Правительства Кыргызской Республики «Об утверждении 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lastRenderedPageBreak/>
              <w:t>Национального контрольного списка Кыргызской Республики контролируемой продукции» от 2 апреля 2014 года № 197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lastRenderedPageBreak/>
              <w:t>МЭ, ГКПЭН</w:t>
            </w:r>
            <w:proofErr w:type="gram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,Г</w:t>
            </w:r>
            <w:proofErr w:type="gramEnd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АООСЛХ, Генштаб (по согласованию), ГКДО, ГКНБ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После внесения изменений в Закон </w:t>
            </w:r>
            <w:proofErr w:type="spell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КыргызскойРеспублики</w:t>
            </w:r>
            <w:proofErr w:type="gram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«О</w:t>
            </w:r>
            <w:proofErr w:type="gramEnd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б</w:t>
            </w:r>
            <w:proofErr w:type="spellEnd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 экспортном контроле» и в 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lastRenderedPageBreak/>
              <w:t>постанов-</w:t>
            </w:r>
          </w:p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proofErr w:type="spell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ление</w:t>
            </w:r>
            <w:proofErr w:type="spellEnd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 Правитель-</w:t>
            </w:r>
          </w:p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proofErr w:type="spell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ства</w:t>
            </w:r>
            <w:proofErr w:type="spellEnd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 Кыргызской Республики от 27 октября 2010 года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№ 257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lastRenderedPageBreak/>
              <w:t>В рамках выделенных бюджетных ассигнований</w:t>
            </w:r>
          </w:p>
        </w:tc>
      </w:tr>
      <w:tr w:rsidR="00033283" w:rsidRPr="00033283" w:rsidTr="0078172E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lastRenderedPageBreak/>
              <w:t xml:space="preserve">5. В реализацию статьи 7 резолюции 1540 </w:t>
            </w:r>
            <w:proofErr w:type="gramStart"/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>СБ</w:t>
            </w:r>
            <w:proofErr w:type="gramEnd"/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 xml:space="preserve"> ООН</w:t>
            </w:r>
          </w:p>
        </w:tc>
      </w:tr>
      <w:tr w:rsidR="00033283" w:rsidRPr="00033283" w:rsidTr="0078172E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>Запрос технической помощи от доноров и международных организаций</w:t>
            </w:r>
          </w:p>
        </w:tc>
      </w:tr>
      <w:tr w:rsidR="0078172E" w:rsidRPr="00033283" w:rsidTr="00FF55F6">
        <w:trPr>
          <w:trHeight w:val="2274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57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10.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Проработка вопросов финансирования, экспертной и технической помощи для реализации мероприятий, содержащихся в настоящем Плане действий Кыргызской Республики, по выполнению резолюции 1540 </w:t>
            </w:r>
            <w:proofErr w:type="gram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СБ</w:t>
            </w:r>
            <w:proofErr w:type="gramEnd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 ООН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Формирование и направление конкретных запросов странам-донорам и международным организациям в соответствии со статьей 7 резолюции об оказании содействия по выполнению требований резолюции 1540 </w:t>
            </w:r>
            <w:proofErr w:type="gram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СБ</w:t>
            </w:r>
            <w:proofErr w:type="gramEnd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 ООН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МЭ, МИД, ГТС, ГПС, МЧС, МЗ, МИД, ГАООСЛХ, Генштаб (по согласованию)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Постоянно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 рамках выделенных бюджетных ассигнований</w:t>
            </w:r>
          </w:p>
        </w:tc>
      </w:tr>
      <w:tr w:rsidR="00033283" w:rsidRPr="00033283" w:rsidTr="0078172E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 xml:space="preserve">6. В реализацию статьи 8 резолюции 1540 </w:t>
            </w:r>
            <w:proofErr w:type="gramStart"/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>СБ</w:t>
            </w:r>
            <w:proofErr w:type="gramEnd"/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 xml:space="preserve"> ООН</w:t>
            </w:r>
          </w:p>
        </w:tc>
      </w:tr>
      <w:tr w:rsidR="00033283" w:rsidRPr="00033283" w:rsidTr="0078172E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>Национальное законодательство</w:t>
            </w:r>
          </w:p>
        </w:tc>
      </w:tr>
      <w:tr w:rsidR="0078172E" w:rsidRPr="00033283" w:rsidTr="0078172E">
        <w:trPr>
          <w:trHeight w:val="1345"/>
        </w:trPr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57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11.</w:t>
            </w:r>
          </w:p>
        </w:tc>
        <w:tc>
          <w:tcPr>
            <w:tcW w:w="12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Определение порядка создания и функционирования идентификационных центров (экспертных организаций)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1. Изучение мирового опыта по созданию и функционированию идентификационных центров путем организации встреч с международными экспертами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МЭ, ГТС</w:t>
            </w:r>
            <w:proofErr w:type="gram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,Г</w:t>
            </w:r>
            <w:proofErr w:type="gramEnd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АООСЛХ,НАН, ЦПНиЭК</w:t>
            </w:r>
          </w:p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(по согласованию)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IV 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квартал 2017 года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При поддержке международных организаций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</w:tr>
      <w:tr w:rsidR="0078172E" w:rsidRPr="00033283" w:rsidTr="0078172E">
        <w:trPr>
          <w:trHeight w:val="896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2. Разработка и внесение в Правительство Кыргызской Республики проекта постановления Правительства Кыргызской Республики о порядке создания и функционирования 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lastRenderedPageBreak/>
              <w:t>идентификационных центров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lastRenderedPageBreak/>
              <w:t>МЭ, ГТС</w:t>
            </w:r>
            <w:proofErr w:type="gram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,Г</w:t>
            </w:r>
            <w:proofErr w:type="gramEnd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АООСЛХ,НАН, ЦПНиЭК</w:t>
            </w:r>
          </w:p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(по согласованию)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III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квартал 2018 года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 пределах выделенных бюджетных ассигнований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lastRenderedPageBreak/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</w:tr>
      <w:tr w:rsidR="0078172E" w:rsidRPr="00033283" w:rsidTr="0078172E"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57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Обеспечение надлежащего учета и сохранности при производстве, применении, хранении или транспортировке материалов и технологий, подлежащих экспортному контролю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Разработка и утверждение типовых внутрифирменных программ по экспортному контролю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МЭ, ГКПЭН, ГАООСЛХ, ЦПНиЭК</w:t>
            </w:r>
          </w:p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(по согласованию)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IV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квартал 2018 года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 рамках выделенных бюджетных ассигнований с привлечением экспертной поддержки со стороны международных организаций</w:t>
            </w:r>
          </w:p>
        </w:tc>
      </w:tr>
      <w:tr w:rsidR="0078172E" w:rsidRPr="00033283" w:rsidTr="0078172E"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57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13.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Гармонизация законодательства Кыргызской Республики по радиационным материалам и источникам ионизирующего излучения с международными требованиями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Разработка подзаконных нормативных актов (технических регламентов и др.) о радиоактивных материалах и источниках ионизирующего излучения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ГАООСЛХ, МЗ, МЧС, ГТС, ГПС, ГКПЭН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IV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квартал 2018 года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 рамках выделенных бюджетных ассигнований и выделенных донорских средств, и экспертной поддержки со стороны международных организаций</w:t>
            </w:r>
          </w:p>
        </w:tc>
      </w:tr>
      <w:tr w:rsidR="0078172E" w:rsidRPr="00033283" w:rsidTr="00FF55F6">
        <w:trPr>
          <w:trHeight w:val="552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57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14.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Анализ состояния нормативно-правовой и институциональной базы по обеспечению химической безопасности и совершенствование институциональной базы в Кыргызской Республики.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Разработка нормативного правового акта в сфере химической безопасности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ГАООСЛХ, МЗ, МЧС, МСХППМ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IV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квартал 2018 года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FF55F6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В рамках выделенных бюджетных ассигнований с привлечением экспертной поддержки со стороны 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lastRenderedPageBreak/>
              <w:t>международных организаций</w:t>
            </w:r>
          </w:p>
        </w:tc>
      </w:tr>
      <w:tr w:rsidR="0078172E" w:rsidRPr="00033283" w:rsidTr="0078172E"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57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Анализ состояния нормативно-правовой и институциональной базы по обеспечению биологической безопасности и совершенствование институциональной базы в Кыргызской Республике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Разработка нормативного правового акта в сфере биологической безопасности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МЗ, ГАООСЛХ, МЧС, МСХППМ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IV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квартал 2018 года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 рамках выделенных бюджетных ассигнований с привлечением экспертной поддержки со стороны международных организаций</w:t>
            </w:r>
          </w:p>
        </w:tc>
      </w:tr>
      <w:tr w:rsidR="00033283" w:rsidRPr="00033283" w:rsidTr="0078172E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t>7. Практические действия</w:t>
            </w:r>
          </w:p>
        </w:tc>
      </w:tr>
      <w:tr w:rsidR="0078172E" w:rsidRPr="00033283" w:rsidTr="0078172E"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57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16.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E532B6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532B6">
              <w:rPr>
                <w:rFonts w:eastAsia="Times New Roman" w:cs="Times New Roman"/>
                <w:szCs w:val="24"/>
                <w:lang w:eastAsia="ru-RU"/>
              </w:rPr>
              <w:t>Выполнение Кыргызской Республикой обязательств согласно</w:t>
            </w:r>
            <w:r w:rsidR="00E34C36" w:rsidRPr="00E532B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6" w:anchor="unknown" w:history="1">
              <w:r w:rsidRPr="00E532B6">
                <w:rPr>
                  <w:rFonts w:eastAsia="Times New Roman" w:cs="Times New Roman"/>
                  <w:szCs w:val="24"/>
                  <w:lang w:eastAsia="ru-RU"/>
                </w:rPr>
                <w:t>Дополнительному протоколу</w:t>
              </w:r>
            </w:hyperlink>
            <w:r w:rsidRPr="00E532B6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E34C36" w:rsidRPr="00E532B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532B6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="00E34C36" w:rsidRPr="00E532B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7" w:anchor="unknown" w:history="1">
              <w:r w:rsidRPr="00E532B6">
                <w:rPr>
                  <w:rFonts w:eastAsia="Times New Roman" w:cs="Times New Roman"/>
                  <w:szCs w:val="24"/>
                  <w:lang w:eastAsia="ru-RU"/>
                </w:rPr>
                <w:t>Соглашению</w:t>
              </w:r>
            </w:hyperlink>
            <w:r w:rsidRPr="00E532B6">
              <w:rPr>
                <w:rFonts w:eastAsia="Times New Roman" w:cs="Times New Roman"/>
                <w:szCs w:val="24"/>
                <w:lang w:eastAsia="ru-RU"/>
              </w:rPr>
              <w:t xml:space="preserve"> между Кыргызской Республикой и Международным агентством </w:t>
            </w:r>
            <w:proofErr w:type="gramStart"/>
            <w:r w:rsidRPr="00E532B6">
              <w:rPr>
                <w:rFonts w:eastAsia="Times New Roman" w:cs="Times New Roman"/>
                <w:szCs w:val="24"/>
                <w:lang w:eastAsia="ru-RU"/>
              </w:rPr>
              <w:t>по атомной энергии о применении гарантий в связи с </w:t>
            </w:r>
            <w:hyperlink r:id="rId8" w:anchor="unknown" w:history="1">
              <w:r w:rsidRPr="00E532B6">
                <w:rPr>
                  <w:rFonts w:eastAsia="Times New Roman" w:cs="Times New Roman"/>
                  <w:szCs w:val="24"/>
                  <w:lang w:eastAsia="ru-RU"/>
                </w:rPr>
                <w:t>Договором</w:t>
              </w:r>
            </w:hyperlink>
            <w:r w:rsidRPr="00E532B6">
              <w:rPr>
                <w:rFonts w:eastAsia="Times New Roman" w:cs="Times New Roman"/>
                <w:szCs w:val="24"/>
                <w:lang w:eastAsia="ru-RU"/>
              </w:rPr>
              <w:t> о нераспространении</w:t>
            </w:r>
            <w:proofErr w:type="gramEnd"/>
            <w:r w:rsidRPr="00E532B6">
              <w:rPr>
                <w:rFonts w:eastAsia="Times New Roman" w:cs="Times New Roman"/>
                <w:szCs w:val="24"/>
                <w:lang w:eastAsia="ru-RU"/>
              </w:rPr>
              <w:t xml:space="preserve"> ядерного оружия, ратифицированным</w:t>
            </w:r>
            <w:r w:rsidR="004B4642" w:rsidRPr="00E532B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9" w:anchor="unknown" w:history="1">
              <w:r w:rsidRPr="00E532B6">
                <w:rPr>
                  <w:rFonts w:eastAsia="Times New Roman" w:cs="Times New Roman"/>
                  <w:szCs w:val="24"/>
                  <w:lang w:eastAsia="ru-RU"/>
                </w:rPr>
                <w:t>Законом</w:t>
              </w:r>
            </w:hyperlink>
            <w:r w:rsidRPr="00E532B6">
              <w:rPr>
                <w:rFonts w:eastAsia="Times New Roman" w:cs="Times New Roman"/>
                <w:szCs w:val="24"/>
                <w:lang w:eastAsia="ru-RU"/>
              </w:rPr>
              <w:t> Кыргызской Республики от 1 ноября 2011 года № 193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E532B6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532B6">
              <w:rPr>
                <w:rFonts w:eastAsia="Times New Roman" w:cs="Times New Roman"/>
                <w:szCs w:val="24"/>
                <w:lang w:eastAsia="ru-RU"/>
              </w:rPr>
              <w:t>Подготовка и направление в МАГАТЭ ежегодного отчета, содержащего обновление первоначального заявления Кыргызской Республики в соответствии со </w:t>
            </w:r>
            <w:hyperlink r:id="rId10" w:anchor="unknown" w:history="1">
              <w:r w:rsidRPr="00E532B6">
                <w:rPr>
                  <w:rFonts w:eastAsia="Times New Roman" w:cs="Times New Roman"/>
                  <w:szCs w:val="24"/>
                  <w:lang w:eastAsia="ru-RU"/>
                </w:rPr>
                <w:t>статьей 2</w:t>
              </w:r>
            </w:hyperlink>
            <w:r w:rsidRPr="00E532B6">
              <w:rPr>
                <w:rFonts w:eastAsia="Times New Roman" w:cs="Times New Roman"/>
                <w:szCs w:val="24"/>
                <w:lang w:eastAsia="ru-RU"/>
              </w:rPr>
              <w:t> Дополнительного протокола</w:t>
            </w:r>
          </w:p>
          <w:p w:rsidR="00033283" w:rsidRPr="00E532B6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532B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033283" w:rsidRPr="00E532B6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532B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033283" w:rsidRPr="00E532B6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532B6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ГАООСЛХ, МЭ, МЗ, МЧС, МИД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Ежегодно до 15 мая года, </w:t>
            </w:r>
            <w:proofErr w:type="gram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следующе-</w:t>
            </w:r>
            <w:proofErr w:type="spell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го</w:t>
            </w:r>
            <w:proofErr w:type="spellEnd"/>
            <w:proofErr w:type="gramEnd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 за отчетным годом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 рамках выделенных бюджетных ассигнований</w:t>
            </w:r>
          </w:p>
        </w:tc>
      </w:tr>
      <w:tr w:rsidR="0078172E" w:rsidRPr="00033283" w:rsidTr="00FF55F6">
        <w:trPr>
          <w:trHeight w:val="2961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Повышение квалификации сотрудников министерств и ведомств, вовлеченных в реализацию резолюции 1540 </w:t>
            </w:r>
            <w:proofErr w:type="gram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СБ</w:t>
            </w:r>
            <w:proofErr w:type="gramEnd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 ООН, а также обеспечение возможности непрерывного обучения для сотрудников ГТС, МВД и военнослужащих ГПС, </w:t>
            </w:r>
            <w:r w:rsidRPr="00033283">
              <w:rPr>
                <w:rFonts w:eastAsia="Times New Roman" w:cs="Times New Roman"/>
                <w:color w:val="2B2B2B"/>
                <w:szCs w:val="24"/>
                <w:lang w:val="ky-KG" w:eastAsia="ru-RU"/>
              </w:rPr>
              <w:t>Генштаба 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по вопросам радиационной, химической и биологической безопасности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Проведение обучающих курсов, тренингов, семинаров, показных и практических занятий для сотрудников министерств и ведомств, вовлеченных в реализацию резолюции 1540 </w:t>
            </w:r>
            <w:proofErr w:type="gram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СБ</w:t>
            </w:r>
            <w:proofErr w:type="gramEnd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 ООН по вопросам экспортного контроля (радиационной, химической и биологической безопасности)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МЭ, ГАООСЛХ, МЮ, МЧС, ГТС, ГПС, МЗ, МСХППМ, ГКПЭН, Генштаб (по согласованию), ЦПНиЭК (по согласованию)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57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На регулярной основе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Привлечение донорской помощи</w:t>
            </w:r>
          </w:p>
        </w:tc>
      </w:tr>
      <w:tr w:rsidR="0078172E" w:rsidRPr="00033283" w:rsidTr="0078172E">
        <w:trPr>
          <w:trHeight w:val="589"/>
        </w:trPr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18.</w:t>
            </w:r>
          </w:p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  <w:tc>
          <w:tcPr>
            <w:tcW w:w="12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Повышение информированности участников внешнеэкономической деятельности в области экспортного контроля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1. Обобщение и представление на рассмотрение донорских организаций конкретных тем и планов обучающих семинаров, тренингов, форумов для участников внешнеэкономической деятельности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МЭ, ГАООСЛХ, МЮ, МЧС, ГТС, ГПС, МЗ, МСХППМ</w:t>
            </w:r>
            <w:proofErr w:type="gram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,Г</w:t>
            </w:r>
            <w:proofErr w:type="gramEnd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КПЭН, ГКДО, Генштаб (по согласованию), ЦПНиЭК (по согласованию)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57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На регулярной основе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Привлечение донорской помощи</w:t>
            </w:r>
          </w:p>
        </w:tc>
      </w:tr>
      <w:tr w:rsidR="0078172E" w:rsidRPr="00033283" w:rsidTr="0078172E">
        <w:trPr>
          <w:trHeight w:val="586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2. Организация и проведение семинаров, тренингов и форумов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МЭ, ГАООСЛХ, МЮ, МЧС, ГТС, ГПС, МЗ, МСХППМ, ГКДО,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Генштаб (по согласованию), ЦПНиЭК (по согласованию)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57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На регулярной основе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Привлечение донорской помощи</w:t>
            </w:r>
          </w:p>
        </w:tc>
      </w:tr>
      <w:tr w:rsidR="0078172E" w:rsidRPr="00033283" w:rsidTr="00FF55F6">
        <w:trPr>
          <w:trHeight w:val="268"/>
        </w:trPr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19.</w:t>
            </w:r>
          </w:p>
        </w:tc>
        <w:tc>
          <w:tcPr>
            <w:tcW w:w="12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Обеспечение доступа участников ВЭД, субъектов предпринимательства к информационным ресурсам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57" w:right="57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1. Проведение информационных мероприятий по разъяснению целей и задач КБТО (проведение форумов, заседаний, общественных обсуждений)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МЭ, НАН, МИД, МЗ, ГАООСЛХ, ЦПНиЭК (по 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lastRenderedPageBreak/>
              <w:t>согласованию)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lastRenderedPageBreak/>
              <w:t>III 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квартал 2017 года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Привлечение донорской помощи</w:t>
            </w:r>
          </w:p>
        </w:tc>
      </w:tr>
      <w:tr w:rsidR="0078172E" w:rsidRPr="00033283" w:rsidTr="00FF55F6">
        <w:trPr>
          <w:trHeight w:val="1977"/>
        </w:trPr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2. Создание </w:t>
            </w:r>
            <w:proofErr w:type="spell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Web</w:t>
            </w:r>
            <w:proofErr w:type="spellEnd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-портала в виде базы данных международных договоров, национального законодательства в области нераспространения оружия массового уничтожения, справочных материалов в помощь участникам внешнеэкономической деятельности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МЭ, НАН, МИД, ЦПНиЭК (по согласованию)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IV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квартал 2017 года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Привлечение донорской помощи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</w:tr>
      <w:tr w:rsidR="0078172E" w:rsidRPr="00033283" w:rsidTr="0078172E"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20.</w:t>
            </w:r>
          </w:p>
        </w:tc>
        <w:tc>
          <w:tcPr>
            <w:tcW w:w="12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Создание технической базы для своевременного обнаружения и идентификации ядерных, химических и бактериологических материалов, которые могут быть использованы при создании ОМУ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1. Определение потребности в передвижных лабораториях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МЗ, ГАООСЛХ, НАН, ГТС, ГПС, МЧС, ЦПНиЭК (по согласованию)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III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квартал 2017 года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 рамках выделенных бюджетных ассигнований</w:t>
            </w:r>
          </w:p>
        </w:tc>
      </w:tr>
      <w:tr w:rsidR="0078172E" w:rsidRPr="00033283" w:rsidTr="0078172E"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2. Создание системы передвижных лабораторий для анализа ядерных, биологических и химических средств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МЗ, ГАООСЛХ, НАН, ГТС, ГПС, ГКДО, ГКНБ, МЧС, Генштаб (по согласованию)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До конца 2018 года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Привлечение донорской помощи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</w:tr>
      <w:tr w:rsidR="0078172E" w:rsidRPr="00033283" w:rsidTr="0078172E"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3283" w:rsidRPr="00033283" w:rsidRDefault="00033283" w:rsidP="00033283">
            <w:pPr>
              <w:jc w:val="left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3. Обеспечение средствами биологической и химической защиты подразделений правоохранительных органов и спецслужб Кыргызской Республики подразделений РХБ защиты Генштаба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ГКДО, ГПС, МВД, МЧС, МЗ, Генштаб (по согласованию)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IV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квартал 2018 года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Привлечение донорской помощи</w:t>
            </w:r>
          </w:p>
        </w:tc>
      </w:tr>
      <w:tr w:rsidR="0078172E" w:rsidRPr="00033283" w:rsidTr="0078172E"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21.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Предотвращение незаконного перемещения через государственную границу Кыргызской Республики товаров, подлежащих экспортному контролю вне пунктов пропуска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Установка и модернизация инженерного оборудования участков государственной границы и оснащение ее техническими средствами охраны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ГПС, ГТС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57" w:right="57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На постоянной основе</w:t>
            </w:r>
          </w:p>
          <w:p w:rsidR="00033283" w:rsidRPr="00033283" w:rsidRDefault="00033283" w:rsidP="00033283">
            <w:pPr>
              <w:ind w:left="57" w:right="57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 рамках выделенных бюджетных ассигнований с привлечением донорской и технической помощи</w:t>
            </w:r>
          </w:p>
        </w:tc>
      </w:tr>
      <w:tr w:rsidR="0078172E" w:rsidRPr="00033283" w:rsidTr="00FF55F6">
        <w:trPr>
          <w:trHeight w:val="1402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Своевременное информирование Комитета 1540 о событиях, намерениях и мероприятиях в стране, подпадающих под действие резолюции 1540 </w:t>
            </w:r>
            <w:proofErr w:type="gram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СБ</w:t>
            </w:r>
            <w:proofErr w:type="gramEnd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 ООН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Представление регулярных отчетов и оперативной информации об изменениях в законодательстве в области экспортного контроля, а также о принятых мерах по реализации резолюции 1540 </w:t>
            </w:r>
            <w:proofErr w:type="gram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СБ</w:t>
            </w:r>
            <w:proofErr w:type="gramEnd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 ООН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МЭ, МЗ, ГКДО, ГТС, ГАООСЛХ, ГКНБ, ГПС, МВД, МЧС, МИД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57" w:right="57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На регулярной основе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FF55F6">
            <w:pPr>
              <w:ind w:left="57" w:right="57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 рамках выделенных бюджетных ассигнований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</w:tr>
      <w:tr w:rsidR="0078172E" w:rsidRPr="00033283" w:rsidTr="0078172E"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23.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Создание экспертных организаций для обеспечения квалифицированной идентификации товаров, подлежащих экспортному контролю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Обеспечение технической помощи в оснащении оборудованием и обучении специалистов идентификационного центра в действующих центрах по подготовке экспертов по химическому и биологическому оружию, Институт Верификации Агентства Химического оружия (</w:t>
            </w: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VERIFIN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) Финляндия или лаборатория </w:t>
            </w: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t>OPCW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, Нидерланды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МЭ, ГАООСЛХ</w:t>
            </w:r>
            <w:proofErr w:type="gram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,Н</w:t>
            </w:r>
            <w:proofErr w:type="gramEnd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АН, МИД,</w:t>
            </w:r>
            <w:r w:rsidRPr="00033283">
              <w:rPr>
                <w:rFonts w:eastAsia="Times New Roman" w:cs="Times New Roman"/>
                <w:color w:val="2B2B2B"/>
                <w:szCs w:val="24"/>
                <w:lang w:val="ky-KG" w:eastAsia="ru-RU"/>
              </w:rPr>
              <w:t>Генштаб (по согласованию),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ЦПНиЭК</w:t>
            </w:r>
          </w:p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(по согласованию)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До конца 2019 года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Привлечение донорской помощи</w:t>
            </w:r>
          </w:p>
        </w:tc>
      </w:tr>
      <w:tr w:rsidR="0078172E" w:rsidRPr="00033283" w:rsidTr="0078172E"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24.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Информирование общества о целях и задачах резолюции 1540 </w:t>
            </w:r>
            <w:proofErr w:type="gram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СБ</w:t>
            </w:r>
            <w:proofErr w:type="gramEnd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 ООН (транспарентность, работа с гражданским, научным и бизнес-сообществом, масс-медиа)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Проведение информационной кампании, работа с неправительственными организациями в части распространения информации, съемки ТВ-передач, документальных фильмов, роликов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МЭ, ГАООСЛХ, ЦПНиЭК (по согласованию) МЗ, МЧС, МСХППМ, ГТС, ГПС,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СМИ (по согласованию)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По мере привлечения донорской помощи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Привлечение донорской помощи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</w:tr>
      <w:tr w:rsidR="0078172E" w:rsidRPr="00033283" w:rsidTr="0078172E"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25.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Повышение эффективности имплементации резолюции </w:t>
            </w:r>
            <w:proofErr w:type="gram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СБ</w:t>
            </w:r>
            <w:proofErr w:type="gramEnd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 ООН 1540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Продолжить практику по обмену опытом, накопленного в процессе имплементации резолюции </w:t>
            </w:r>
            <w:proofErr w:type="gram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СБ</w:t>
            </w:r>
            <w:proofErr w:type="gramEnd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 ООН 1540 национальным координатором и агентствами других стран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МЭ, ГАООСЛХ, ЦПНиЭК (по согласованию) МЗ, МЧС, МСХППМ, ГТС, ГПС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Постоянно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FF55F6">
            <w:pPr>
              <w:ind w:left="57" w:right="57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 рамках выделенных бюджетных ассигнований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</w:tc>
      </w:tr>
      <w:tr w:rsidR="0078172E" w:rsidRPr="00033283" w:rsidTr="0078172E"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26.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Обеспечение реализации резолюции 1540 (2004 года) </w:t>
            </w:r>
            <w:proofErr w:type="gram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СБ</w:t>
            </w:r>
            <w:proofErr w:type="gramEnd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 ООН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</w:t>
            </w:r>
          </w:p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b/>
                <w:bCs/>
                <w:color w:val="2B2B2B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lastRenderedPageBreak/>
              <w:t>Подготовка и утверждение ведомственных Планов мероприятий по выполнению резолюции 1540 </w:t>
            </w:r>
            <w:proofErr w:type="gram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СБ</w:t>
            </w:r>
            <w:proofErr w:type="gramEnd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 ООН на 2017-2019 годы 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57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Все задействованные министерства, госкомитеты и 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lastRenderedPageBreak/>
              <w:t>ведомства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en-US" w:eastAsia="ru-RU"/>
              </w:rPr>
              <w:lastRenderedPageBreak/>
              <w:t>III</w:t>
            </w: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квартал 2017 года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33283" w:rsidRPr="00033283" w:rsidRDefault="00033283" w:rsidP="00033283">
            <w:pPr>
              <w:ind w:left="113" w:right="113"/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 рамках выделенных бюджетных ассигнований</w:t>
            </w:r>
          </w:p>
        </w:tc>
      </w:tr>
    </w:tbl>
    <w:p w:rsidR="00033283" w:rsidRPr="00033283" w:rsidRDefault="00033283" w:rsidP="00033283">
      <w:pPr>
        <w:shd w:val="clear" w:color="auto" w:fill="FFFFFF"/>
        <w:rPr>
          <w:rFonts w:ascii="Arial" w:eastAsia="Times New Roman" w:hAnsi="Arial" w:cs="Arial"/>
          <w:color w:val="2B2B2B"/>
          <w:szCs w:val="24"/>
          <w:lang w:eastAsia="ru-RU"/>
        </w:rPr>
      </w:pPr>
      <w:r w:rsidRPr="00033283">
        <w:rPr>
          <w:rFonts w:eastAsia="Times New Roman" w:cs="Times New Roman"/>
          <w:color w:val="2B2B2B"/>
          <w:szCs w:val="24"/>
          <w:lang w:eastAsia="ru-RU"/>
        </w:rPr>
        <w:lastRenderedPageBreak/>
        <w:t> </w:t>
      </w:r>
    </w:p>
    <w:p w:rsidR="00033283" w:rsidRPr="00033283" w:rsidRDefault="00033283" w:rsidP="00033283">
      <w:pPr>
        <w:shd w:val="clear" w:color="auto" w:fill="FFFFFF"/>
        <w:rPr>
          <w:rFonts w:ascii="Arial" w:eastAsia="Times New Roman" w:hAnsi="Arial" w:cs="Arial"/>
          <w:color w:val="2B2B2B"/>
          <w:szCs w:val="24"/>
          <w:lang w:eastAsia="ru-RU"/>
        </w:rPr>
      </w:pPr>
      <w:r w:rsidRPr="00033283">
        <w:rPr>
          <w:rFonts w:eastAsia="Times New Roman" w:cs="Times New Roman"/>
          <w:b/>
          <w:bCs/>
          <w:color w:val="2B2B2B"/>
          <w:szCs w:val="24"/>
          <w:lang w:eastAsia="ru-RU"/>
        </w:rPr>
        <w:t>Список используемых сокращений</w:t>
      </w:r>
    </w:p>
    <w:p w:rsidR="00033283" w:rsidRPr="00033283" w:rsidRDefault="00033283" w:rsidP="00033283">
      <w:pPr>
        <w:shd w:val="clear" w:color="auto" w:fill="FFFFFF"/>
        <w:rPr>
          <w:rFonts w:ascii="Arial" w:eastAsia="Times New Roman" w:hAnsi="Arial" w:cs="Arial"/>
          <w:color w:val="2B2B2B"/>
          <w:szCs w:val="24"/>
          <w:lang w:eastAsia="ru-RU"/>
        </w:rPr>
      </w:pPr>
      <w:r w:rsidRPr="00033283">
        <w:rPr>
          <w:rFonts w:eastAsia="Times New Roman" w:cs="Times New Roman"/>
          <w:b/>
          <w:bCs/>
          <w:color w:val="2B2B2B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86"/>
        <w:gridCol w:w="11298"/>
      </w:tblGrid>
      <w:tr w:rsidR="00033283" w:rsidRPr="00033283" w:rsidTr="0003328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ВЭД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</w:p>
        </w:tc>
        <w:tc>
          <w:tcPr>
            <w:tcW w:w="1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внешнеэкономическая деятельность</w:t>
            </w:r>
          </w:p>
        </w:tc>
      </w:tr>
      <w:tr w:rsidR="00033283" w:rsidRPr="00033283" w:rsidTr="0003328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ГАООСЛХ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</w:p>
        </w:tc>
        <w:tc>
          <w:tcPr>
            <w:tcW w:w="1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Государственное агентство охраны окружающей среды и лесного хозяйства при Правительстве Кыргызской Республики</w:t>
            </w:r>
          </w:p>
        </w:tc>
      </w:tr>
      <w:tr w:rsidR="00033283" w:rsidRPr="00033283" w:rsidTr="0003328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ГИВФБ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</w:p>
        </w:tc>
        <w:tc>
          <w:tcPr>
            <w:tcW w:w="1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Государственная инспекция по ветеринарной и фитосанитарной безопасности при Правительстве Кыргызской Республики</w:t>
            </w:r>
          </w:p>
        </w:tc>
      </w:tr>
      <w:tr w:rsidR="00033283" w:rsidRPr="00033283" w:rsidTr="0003328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ГКНБ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</w:p>
        </w:tc>
        <w:tc>
          <w:tcPr>
            <w:tcW w:w="1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Государственный комитет национальной безопасности Кыргызской Республики</w:t>
            </w:r>
          </w:p>
        </w:tc>
      </w:tr>
      <w:tr w:rsidR="00033283" w:rsidRPr="00033283" w:rsidTr="0003328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ГКДО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</w:p>
        </w:tc>
        <w:tc>
          <w:tcPr>
            <w:tcW w:w="1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Государственный комитет по делам обороны Кыргызской Республики</w:t>
            </w:r>
          </w:p>
        </w:tc>
      </w:tr>
      <w:tr w:rsidR="00033283" w:rsidRPr="00033283" w:rsidTr="0003328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ГКПЭН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</w:p>
        </w:tc>
        <w:tc>
          <w:tcPr>
            <w:tcW w:w="1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Государственный комитет промышленности, энергетики и недропользования Кыргызской Республики</w:t>
            </w:r>
          </w:p>
        </w:tc>
      </w:tr>
      <w:tr w:rsidR="00033283" w:rsidRPr="00033283" w:rsidTr="0003328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Генштаб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</w:p>
        </w:tc>
        <w:tc>
          <w:tcPr>
            <w:tcW w:w="1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Генеральный штаб Вооруженных сил Кыргызской Республики</w:t>
            </w:r>
          </w:p>
        </w:tc>
      </w:tr>
      <w:tr w:rsidR="00033283" w:rsidRPr="00033283" w:rsidTr="0003328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ГСФР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</w:p>
        </w:tc>
        <w:tc>
          <w:tcPr>
            <w:tcW w:w="1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Государственная служба финансовой разведки при Правительстве Кыргызской Республики</w:t>
            </w:r>
          </w:p>
        </w:tc>
      </w:tr>
      <w:tr w:rsidR="00033283" w:rsidRPr="00033283" w:rsidTr="0003328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ГТС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</w:p>
        </w:tc>
        <w:tc>
          <w:tcPr>
            <w:tcW w:w="1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Государственная таможенная служба при Правительстве Кыргызской Республики</w:t>
            </w:r>
          </w:p>
        </w:tc>
      </w:tr>
      <w:tr w:rsidR="00033283" w:rsidRPr="00033283" w:rsidTr="0003328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ky-KG" w:eastAsia="ru-RU"/>
              </w:rPr>
              <w:t>ГПС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ky-KG" w:eastAsia="ru-RU"/>
              </w:rPr>
              <w:t>-</w:t>
            </w:r>
          </w:p>
        </w:tc>
        <w:tc>
          <w:tcPr>
            <w:tcW w:w="1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ky-KG" w:eastAsia="ru-RU"/>
              </w:rPr>
              <w:t>Государственная пограничная служба Кыргызской Республики</w:t>
            </w:r>
          </w:p>
        </w:tc>
      </w:tr>
      <w:tr w:rsidR="00033283" w:rsidRPr="00033283" w:rsidTr="0003328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КЗХО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</w:p>
        </w:tc>
        <w:tc>
          <w:tcPr>
            <w:tcW w:w="1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Конвенция о запрещении разработки, производства, накопления запасов и применения химического оружия и о его уничтожении</w:t>
            </w:r>
          </w:p>
        </w:tc>
      </w:tr>
      <w:tr w:rsidR="00033283" w:rsidRPr="00033283" w:rsidTr="0003328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КБТО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</w:p>
        </w:tc>
        <w:tc>
          <w:tcPr>
            <w:tcW w:w="1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9B70CC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hyperlink r:id="rId11" w:anchor="unknown" w:history="1">
              <w:r w:rsidR="00033283" w:rsidRPr="00667DF3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Конвенция</w:t>
              </w:r>
            </w:hyperlink>
            <w:r w:rsidR="00033283"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 о запрещении разработки, производства и накопления запасов бактериологического (биологического) и токсинного оружия и об их уничтожении</w:t>
            </w:r>
          </w:p>
        </w:tc>
      </w:tr>
      <w:tr w:rsidR="00033283" w:rsidRPr="00033283" w:rsidTr="0003328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ИИИ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</w:p>
        </w:tc>
        <w:tc>
          <w:tcPr>
            <w:tcW w:w="1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источник ионизирующего излучения</w:t>
            </w:r>
          </w:p>
        </w:tc>
      </w:tr>
      <w:tr w:rsidR="00033283" w:rsidRPr="00033283" w:rsidTr="0003328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МАГАТЭ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</w:p>
        </w:tc>
        <w:tc>
          <w:tcPr>
            <w:tcW w:w="1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Международное агентство по атомной энергии</w:t>
            </w:r>
          </w:p>
        </w:tc>
      </w:tr>
      <w:tr w:rsidR="00033283" w:rsidRPr="00033283" w:rsidTr="0003328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МВД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</w:p>
        </w:tc>
        <w:tc>
          <w:tcPr>
            <w:tcW w:w="1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Министерство внутренних дел Кыргызской Республики</w:t>
            </w:r>
          </w:p>
        </w:tc>
      </w:tr>
      <w:tr w:rsidR="00033283" w:rsidRPr="00033283" w:rsidTr="0003328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МИД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</w:p>
        </w:tc>
        <w:tc>
          <w:tcPr>
            <w:tcW w:w="1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Министерство иностранных дел Кыргызской Республики</w:t>
            </w:r>
          </w:p>
        </w:tc>
      </w:tr>
      <w:tr w:rsidR="00033283" w:rsidRPr="00033283" w:rsidTr="0003328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МЗ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</w:p>
        </w:tc>
        <w:tc>
          <w:tcPr>
            <w:tcW w:w="1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Министерство здравоохранения Кыргызской Республики</w:t>
            </w:r>
          </w:p>
        </w:tc>
      </w:tr>
      <w:tr w:rsidR="00033283" w:rsidRPr="00033283" w:rsidTr="0003328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МСХППМ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</w:p>
        </w:tc>
        <w:tc>
          <w:tcPr>
            <w:tcW w:w="1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Министерство сельского хозяйства, перерабатывающей промышленности и мелиорации Кыргызской Республики</w:t>
            </w:r>
          </w:p>
        </w:tc>
      </w:tr>
      <w:tr w:rsidR="00033283" w:rsidRPr="00033283" w:rsidTr="0003328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МЧС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</w:p>
        </w:tc>
        <w:tc>
          <w:tcPr>
            <w:tcW w:w="1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Министерство чрезвычайных ситуаций Кыргызской Республики</w:t>
            </w:r>
          </w:p>
        </w:tc>
      </w:tr>
      <w:tr w:rsidR="00033283" w:rsidRPr="00033283" w:rsidTr="0003328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МЭ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</w:p>
        </w:tc>
        <w:tc>
          <w:tcPr>
            <w:tcW w:w="1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Министерство экономики Кыргызской Республики</w:t>
            </w:r>
          </w:p>
        </w:tc>
      </w:tr>
      <w:tr w:rsidR="00033283" w:rsidRPr="00033283" w:rsidTr="0003328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МЮ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</w:p>
        </w:tc>
        <w:tc>
          <w:tcPr>
            <w:tcW w:w="1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Министерство юстиции Кыргызской Республики</w:t>
            </w:r>
          </w:p>
        </w:tc>
      </w:tr>
      <w:tr w:rsidR="00033283" w:rsidRPr="00033283" w:rsidTr="0003328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НАН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</w:p>
        </w:tc>
        <w:tc>
          <w:tcPr>
            <w:tcW w:w="1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Национальная академия наук Кыргызской Республики</w:t>
            </w:r>
          </w:p>
        </w:tc>
      </w:tr>
      <w:tr w:rsidR="00033283" w:rsidRPr="00033283" w:rsidTr="0003328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ОМУ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</w:p>
        </w:tc>
        <w:tc>
          <w:tcPr>
            <w:tcW w:w="1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оружие массового уничтожения</w:t>
            </w:r>
          </w:p>
        </w:tc>
      </w:tr>
      <w:tr w:rsidR="00033283" w:rsidRPr="00033283" w:rsidTr="0003328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РПМ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</w:p>
        </w:tc>
        <w:tc>
          <w:tcPr>
            <w:tcW w:w="1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радиационные портальные мониторы</w:t>
            </w:r>
          </w:p>
        </w:tc>
      </w:tr>
      <w:tr w:rsidR="00033283" w:rsidRPr="00033283" w:rsidTr="0003328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proofErr w:type="gramStart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lastRenderedPageBreak/>
              <w:t>СБ</w:t>
            </w:r>
            <w:proofErr w:type="gramEnd"/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 xml:space="preserve"> ООН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</w:p>
        </w:tc>
        <w:tc>
          <w:tcPr>
            <w:tcW w:w="1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Совет Безопасности Организации Объединенных Наций</w:t>
            </w:r>
          </w:p>
        </w:tc>
      </w:tr>
      <w:tr w:rsidR="00033283" w:rsidRPr="00033283" w:rsidTr="0003328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ky-KG" w:eastAsia="ru-RU"/>
              </w:rPr>
              <w:t>СМИ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</w:p>
        </w:tc>
        <w:tc>
          <w:tcPr>
            <w:tcW w:w="1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val="ky-KG" w:eastAsia="ru-RU"/>
              </w:rPr>
              <w:t>Средства массовой информации</w:t>
            </w:r>
          </w:p>
        </w:tc>
      </w:tr>
      <w:tr w:rsidR="00033283" w:rsidRPr="00033283" w:rsidTr="0003328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ЦПНиЭК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-</w:t>
            </w:r>
          </w:p>
        </w:tc>
        <w:tc>
          <w:tcPr>
            <w:tcW w:w="11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283" w:rsidRPr="00033283" w:rsidRDefault="00033283" w:rsidP="00033283">
            <w:pPr>
              <w:jc w:val="both"/>
              <w:rPr>
                <w:rFonts w:ascii="Arial" w:eastAsia="Times New Roman" w:hAnsi="Arial" w:cs="Arial"/>
                <w:color w:val="2B2B2B"/>
                <w:szCs w:val="24"/>
                <w:lang w:eastAsia="ru-RU"/>
              </w:rPr>
            </w:pPr>
            <w:r w:rsidRPr="00033283">
              <w:rPr>
                <w:rFonts w:eastAsia="Times New Roman" w:cs="Times New Roman"/>
                <w:color w:val="2B2B2B"/>
                <w:szCs w:val="24"/>
                <w:lang w:eastAsia="ru-RU"/>
              </w:rPr>
              <w:t>Общественный фонд «Центр по проблемам нераспространения и экспортного контроля»</w:t>
            </w:r>
          </w:p>
        </w:tc>
      </w:tr>
    </w:tbl>
    <w:p w:rsidR="00CE0DEE" w:rsidRPr="00667DF3" w:rsidRDefault="00CE0DEE">
      <w:pPr>
        <w:rPr>
          <w:szCs w:val="24"/>
        </w:rPr>
      </w:pPr>
    </w:p>
    <w:sectPr w:rsidR="00CE0DEE" w:rsidRPr="00667DF3" w:rsidSect="000332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83"/>
    <w:rsid w:val="00033283"/>
    <w:rsid w:val="00070FCB"/>
    <w:rsid w:val="00204194"/>
    <w:rsid w:val="00454613"/>
    <w:rsid w:val="004B4642"/>
    <w:rsid w:val="00667DF3"/>
    <w:rsid w:val="007761F0"/>
    <w:rsid w:val="0078172E"/>
    <w:rsid w:val="009B70CC"/>
    <w:rsid w:val="00C3671E"/>
    <w:rsid w:val="00CE0DEE"/>
    <w:rsid w:val="00D5308F"/>
    <w:rsid w:val="00DA3EC7"/>
    <w:rsid w:val="00E34C36"/>
    <w:rsid w:val="00E532B6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3283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28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Message Header"/>
    <w:basedOn w:val="a"/>
    <w:link w:val="a4"/>
    <w:uiPriority w:val="99"/>
    <w:semiHidden/>
    <w:unhideWhenUsed/>
    <w:rsid w:val="0003328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Шапка Знак"/>
    <w:basedOn w:val="a0"/>
    <w:link w:val="a3"/>
    <w:uiPriority w:val="99"/>
    <w:semiHidden/>
    <w:rsid w:val="00033283"/>
    <w:rPr>
      <w:rFonts w:eastAsia="Times New Roman" w:cs="Times New Roman"/>
      <w:szCs w:val="24"/>
      <w:lang w:eastAsia="ru-RU"/>
    </w:rPr>
  </w:style>
  <w:style w:type="paragraph" w:customStyle="1" w:styleId="a6">
    <w:name w:val="a6"/>
    <w:basedOn w:val="a"/>
    <w:rsid w:val="0003328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7"/>
    <w:uiPriority w:val="10"/>
    <w:qFormat/>
    <w:rsid w:val="0003328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7">
    <w:name w:val="Название Знак"/>
    <w:basedOn w:val="a0"/>
    <w:link w:val="a5"/>
    <w:uiPriority w:val="10"/>
    <w:rsid w:val="00033283"/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33283"/>
    <w:rPr>
      <w:color w:val="0000FF"/>
      <w:u w:val="single"/>
    </w:rPr>
  </w:style>
  <w:style w:type="paragraph" w:styleId="a9">
    <w:name w:val="Signature"/>
    <w:basedOn w:val="a"/>
    <w:link w:val="aa"/>
    <w:uiPriority w:val="99"/>
    <w:unhideWhenUsed/>
    <w:rsid w:val="0003328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a">
    <w:name w:val="Подпись Знак"/>
    <w:basedOn w:val="a0"/>
    <w:link w:val="a9"/>
    <w:uiPriority w:val="99"/>
    <w:rsid w:val="00033283"/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32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3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3283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28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Message Header"/>
    <w:basedOn w:val="a"/>
    <w:link w:val="a4"/>
    <w:uiPriority w:val="99"/>
    <w:semiHidden/>
    <w:unhideWhenUsed/>
    <w:rsid w:val="0003328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Шапка Знак"/>
    <w:basedOn w:val="a0"/>
    <w:link w:val="a3"/>
    <w:uiPriority w:val="99"/>
    <w:semiHidden/>
    <w:rsid w:val="00033283"/>
    <w:rPr>
      <w:rFonts w:eastAsia="Times New Roman" w:cs="Times New Roman"/>
      <w:szCs w:val="24"/>
      <w:lang w:eastAsia="ru-RU"/>
    </w:rPr>
  </w:style>
  <w:style w:type="paragraph" w:customStyle="1" w:styleId="a6">
    <w:name w:val="a6"/>
    <w:basedOn w:val="a"/>
    <w:rsid w:val="0003328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7"/>
    <w:uiPriority w:val="10"/>
    <w:qFormat/>
    <w:rsid w:val="0003328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7">
    <w:name w:val="Название Знак"/>
    <w:basedOn w:val="a0"/>
    <w:link w:val="a5"/>
    <w:uiPriority w:val="10"/>
    <w:rsid w:val="00033283"/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33283"/>
    <w:rPr>
      <w:color w:val="0000FF"/>
      <w:u w:val="single"/>
    </w:rPr>
  </w:style>
  <w:style w:type="paragraph" w:styleId="a9">
    <w:name w:val="Signature"/>
    <w:basedOn w:val="a"/>
    <w:link w:val="aa"/>
    <w:uiPriority w:val="99"/>
    <w:unhideWhenUsed/>
    <w:rsid w:val="0003328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a">
    <w:name w:val="Подпись Знак"/>
    <w:basedOn w:val="a0"/>
    <w:link w:val="a9"/>
    <w:uiPriority w:val="99"/>
    <w:rsid w:val="00033283"/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32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3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001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10016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00166" TargetMode="External"/><Relationship Id="rId11" Type="http://schemas.openxmlformats.org/officeDocument/2006/relationships/hyperlink" Target="http://cbd.minjust.gov.kg/act/view/ru-ru/10016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cbd.minjust.gov.kg/act/view/ru-ru/100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100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14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 АКС. Акматбекова</dc:creator>
  <cp:lastModifiedBy>Nazar Malaev</cp:lastModifiedBy>
  <cp:revision>11</cp:revision>
  <dcterms:created xsi:type="dcterms:W3CDTF">2017-08-30T04:48:00Z</dcterms:created>
  <dcterms:modified xsi:type="dcterms:W3CDTF">2018-11-16T06:13:00Z</dcterms:modified>
</cp:coreProperties>
</file>