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7C" w:rsidRDefault="0084257C" w:rsidP="008425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поступлении прямых иностранных инвестиций за </w:t>
      </w:r>
      <w:r w:rsidRPr="001641A0">
        <w:rPr>
          <w:rFonts w:ascii="Times New Roman" w:hAnsi="Times New Roman"/>
          <w:b/>
          <w:sz w:val="28"/>
          <w:szCs w:val="28"/>
        </w:rPr>
        <w:t xml:space="preserve"> </w:t>
      </w:r>
      <w:r w:rsidR="00AD68DC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D68DC" w:rsidRPr="001641A0" w:rsidRDefault="00AD68DC" w:rsidP="00AD68DC">
      <w:pPr>
        <w:spacing w:after="0" w:line="360" w:lineRule="auto"/>
        <w:ind w:left="2831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(предварительная)</w:t>
      </w:r>
    </w:p>
    <w:p w:rsidR="0084257C" w:rsidRDefault="00AD68DC" w:rsidP="008425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</w:t>
      </w:r>
      <w:r w:rsidR="0084257C">
        <w:rPr>
          <w:rFonts w:ascii="Times New Roman" w:hAnsi="Times New Roman"/>
          <w:sz w:val="28"/>
          <w:szCs w:val="28"/>
        </w:rPr>
        <w:t xml:space="preserve"> года, приток прямых иностранных инвестиций (далее – ПИИ) в Кыргызскую Республику </w:t>
      </w:r>
      <w:r>
        <w:rPr>
          <w:rFonts w:ascii="Times New Roman" w:hAnsi="Times New Roman"/>
          <w:sz w:val="28"/>
          <w:szCs w:val="28"/>
        </w:rPr>
        <w:t>составил 590 519,5</w:t>
      </w:r>
      <w:r>
        <w:rPr>
          <w:rFonts w:ascii="Times New Roman" w:hAnsi="Times New Roman"/>
          <w:b/>
          <w:sz w:val="28"/>
          <w:szCs w:val="28"/>
        </w:rPr>
        <w:t xml:space="preserve"> тыс</w:t>
      </w:r>
      <w:r w:rsidR="0084257C" w:rsidRPr="00D65531">
        <w:rPr>
          <w:rFonts w:ascii="Times New Roman" w:hAnsi="Times New Roman"/>
          <w:b/>
          <w:sz w:val="28"/>
          <w:szCs w:val="28"/>
        </w:rPr>
        <w:t>. долл.</w:t>
      </w:r>
      <w:r w:rsidR="0084257C">
        <w:rPr>
          <w:rFonts w:ascii="Times New Roman" w:hAnsi="Times New Roman"/>
          <w:sz w:val="28"/>
          <w:szCs w:val="28"/>
        </w:rPr>
        <w:t xml:space="preserve"> </w:t>
      </w:r>
      <w:r w:rsidR="0084257C" w:rsidRPr="00D65531">
        <w:rPr>
          <w:rFonts w:ascii="Times New Roman" w:hAnsi="Times New Roman"/>
          <w:b/>
          <w:sz w:val="28"/>
          <w:szCs w:val="28"/>
        </w:rPr>
        <w:t>США</w:t>
      </w:r>
      <w:r w:rsidR="0084257C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b/>
          <w:sz w:val="28"/>
          <w:szCs w:val="28"/>
        </w:rPr>
        <w:t xml:space="preserve">7,8 </w:t>
      </w:r>
      <w:r w:rsidR="0084257C">
        <w:rPr>
          <w:rFonts w:ascii="Times New Roman" w:hAnsi="Times New Roman"/>
          <w:b/>
          <w:sz w:val="28"/>
          <w:szCs w:val="28"/>
        </w:rPr>
        <w:t>%</w:t>
      </w:r>
      <w:r w:rsidR="0084257C" w:rsidRPr="00D65531">
        <w:rPr>
          <w:rFonts w:ascii="Times New Roman" w:hAnsi="Times New Roman"/>
          <w:b/>
          <w:sz w:val="28"/>
          <w:szCs w:val="28"/>
        </w:rPr>
        <w:t xml:space="preserve"> от В</w:t>
      </w:r>
      <w:proofErr w:type="gramStart"/>
      <w:r w:rsidR="0084257C" w:rsidRPr="00D65531">
        <w:rPr>
          <w:rFonts w:ascii="Times New Roman" w:hAnsi="Times New Roman"/>
          <w:b/>
          <w:sz w:val="28"/>
          <w:szCs w:val="28"/>
        </w:rPr>
        <w:t>ВП стр</w:t>
      </w:r>
      <w:proofErr w:type="gramEnd"/>
      <w:r w:rsidR="0084257C" w:rsidRPr="00D65531">
        <w:rPr>
          <w:rFonts w:ascii="Times New Roman" w:hAnsi="Times New Roman"/>
          <w:b/>
          <w:sz w:val="28"/>
          <w:szCs w:val="28"/>
        </w:rPr>
        <w:t>аны</w:t>
      </w:r>
    </w:p>
    <w:p w:rsidR="0084257C" w:rsidRPr="00CD1997" w:rsidRDefault="00AD68DC" w:rsidP="008425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сравнении с 2016</w:t>
      </w:r>
      <w:r w:rsidR="0084257C">
        <w:rPr>
          <w:rFonts w:ascii="Times New Roman" w:hAnsi="Times New Roman"/>
          <w:sz w:val="28"/>
          <w:szCs w:val="28"/>
        </w:rPr>
        <w:t xml:space="preserve"> г</w:t>
      </w:r>
      <w:r w:rsidR="0084257C" w:rsidRPr="00CD1997">
        <w:rPr>
          <w:rFonts w:ascii="Times New Roman" w:hAnsi="Times New Roman"/>
          <w:sz w:val="28"/>
          <w:szCs w:val="28"/>
          <w:u w:val="single"/>
        </w:rPr>
        <w:t xml:space="preserve">. темп роста поступлений ПИИ составил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72,5</w:t>
      </w:r>
      <w:proofErr w:type="gramEnd"/>
      <w:r w:rsidR="0084257C" w:rsidRPr="00CD1997">
        <w:rPr>
          <w:rFonts w:ascii="Times New Roman" w:hAnsi="Times New Roman"/>
          <w:sz w:val="28"/>
          <w:szCs w:val="28"/>
          <w:u w:val="single"/>
        </w:rPr>
        <w:t>%</w:t>
      </w:r>
      <w:r w:rsidR="0084257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u w:val="single"/>
        </w:rPr>
        <w:t>объемы снизились</w:t>
      </w:r>
      <w:r w:rsidR="0084257C" w:rsidRPr="00CD1997">
        <w:rPr>
          <w:rFonts w:ascii="Times New Roman" w:hAnsi="Times New Roman"/>
          <w:sz w:val="28"/>
          <w:szCs w:val="28"/>
          <w:u w:val="single"/>
        </w:rPr>
        <w:t xml:space="preserve"> на </w:t>
      </w:r>
      <w:r>
        <w:rPr>
          <w:rFonts w:ascii="Times New Roman" w:hAnsi="Times New Roman"/>
          <w:sz w:val="28"/>
          <w:szCs w:val="28"/>
          <w:u w:val="single"/>
        </w:rPr>
        <w:t>223 441,2</w:t>
      </w:r>
      <w:r w:rsidR="0084257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тыс</w:t>
      </w:r>
      <w:r w:rsidR="0084257C" w:rsidRPr="00CD1997">
        <w:rPr>
          <w:rFonts w:ascii="Times New Roman" w:hAnsi="Times New Roman"/>
          <w:sz w:val="28"/>
          <w:szCs w:val="28"/>
          <w:u w:val="single"/>
        </w:rPr>
        <w:t>. долл. США.</w:t>
      </w:r>
    </w:p>
    <w:p w:rsidR="0084257C" w:rsidRDefault="0084257C" w:rsidP="008425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997">
        <w:rPr>
          <w:rFonts w:ascii="Times New Roman" w:hAnsi="Times New Roman"/>
          <w:sz w:val="28"/>
          <w:szCs w:val="28"/>
        </w:rPr>
        <w:t xml:space="preserve">По видам экономической деятельности наибольшая доля притока </w:t>
      </w:r>
      <w:r>
        <w:rPr>
          <w:rFonts w:ascii="Times New Roman" w:hAnsi="Times New Roman"/>
          <w:sz w:val="28"/>
          <w:szCs w:val="28"/>
        </w:rPr>
        <w:t>ПИИ</w:t>
      </w:r>
      <w:r w:rsidRPr="00CD1997">
        <w:rPr>
          <w:rFonts w:ascii="Times New Roman" w:hAnsi="Times New Roman"/>
          <w:sz w:val="28"/>
          <w:szCs w:val="28"/>
        </w:rPr>
        <w:t xml:space="preserve"> пришлась на </w:t>
      </w:r>
      <w:r>
        <w:rPr>
          <w:rFonts w:ascii="Times New Roman" w:hAnsi="Times New Roman"/>
          <w:sz w:val="28"/>
          <w:szCs w:val="28"/>
        </w:rPr>
        <w:t xml:space="preserve">сферу </w:t>
      </w:r>
      <w:r w:rsidRPr="00D65531">
        <w:rPr>
          <w:rFonts w:ascii="Times New Roman" w:hAnsi="Times New Roman"/>
          <w:b/>
          <w:sz w:val="28"/>
          <w:szCs w:val="28"/>
        </w:rPr>
        <w:t>о</w:t>
      </w:r>
      <w:r w:rsidR="00386153">
        <w:rPr>
          <w:rFonts w:ascii="Times New Roman" w:hAnsi="Times New Roman"/>
          <w:b/>
          <w:sz w:val="28"/>
          <w:szCs w:val="28"/>
        </w:rPr>
        <w:t>брабатывающей промышленности (36</w:t>
      </w:r>
      <w:r w:rsidRPr="00D65531">
        <w:rPr>
          <w:rFonts w:ascii="Times New Roman" w:hAnsi="Times New Roman"/>
          <w:b/>
          <w:sz w:val="28"/>
          <w:szCs w:val="28"/>
        </w:rPr>
        <w:t>,9%);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97">
        <w:rPr>
          <w:rFonts w:ascii="Times New Roman" w:hAnsi="Times New Roman"/>
          <w:sz w:val="28"/>
          <w:szCs w:val="28"/>
        </w:rPr>
        <w:t>профессиональную, научную и техническую деятельность (</w:t>
      </w:r>
      <w:r w:rsidR="00386153">
        <w:rPr>
          <w:rFonts w:ascii="Times New Roman" w:hAnsi="Times New Roman"/>
          <w:sz w:val="28"/>
          <w:szCs w:val="28"/>
        </w:rPr>
        <w:t>21,1</w:t>
      </w:r>
      <w:r w:rsidRPr="00CD1997">
        <w:rPr>
          <w:rFonts w:ascii="Times New Roman" w:hAnsi="Times New Roman"/>
          <w:sz w:val="28"/>
          <w:szCs w:val="28"/>
        </w:rPr>
        <w:t>%)</w:t>
      </w:r>
      <w:r w:rsidR="00386153" w:rsidRPr="00386153">
        <w:rPr>
          <w:rFonts w:ascii="Times New Roman" w:hAnsi="Times New Roman"/>
          <w:sz w:val="28"/>
          <w:szCs w:val="28"/>
        </w:rPr>
        <w:t xml:space="preserve"> </w:t>
      </w:r>
      <w:r w:rsidR="00386153">
        <w:rPr>
          <w:rFonts w:ascii="Times New Roman" w:hAnsi="Times New Roman"/>
          <w:sz w:val="28"/>
          <w:szCs w:val="28"/>
        </w:rPr>
        <w:t>и</w:t>
      </w:r>
      <w:r w:rsidR="00386153">
        <w:rPr>
          <w:rFonts w:ascii="Times New Roman" w:hAnsi="Times New Roman"/>
          <w:sz w:val="28"/>
          <w:szCs w:val="28"/>
        </w:rPr>
        <w:t xml:space="preserve"> </w:t>
      </w:r>
      <w:r w:rsidR="00386153">
        <w:rPr>
          <w:rFonts w:ascii="Times New Roman" w:hAnsi="Times New Roman"/>
          <w:sz w:val="28"/>
          <w:szCs w:val="28"/>
        </w:rPr>
        <w:t>сфера финансового посредничества и страхования (18,8%)</w:t>
      </w:r>
      <w:r w:rsidR="00386153">
        <w:rPr>
          <w:rFonts w:ascii="Times New Roman" w:hAnsi="Times New Roman"/>
          <w:sz w:val="28"/>
          <w:szCs w:val="28"/>
        </w:rPr>
        <w:t>.</w:t>
      </w:r>
    </w:p>
    <w:p w:rsidR="0084257C" w:rsidRDefault="0084257C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1997">
        <w:rPr>
          <w:rFonts w:ascii="Times New Roman" w:hAnsi="Times New Roman"/>
          <w:sz w:val="28"/>
          <w:szCs w:val="28"/>
        </w:rPr>
        <w:t xml:space="preserve">Приток ПИИ </w:t>
      </w:r>
      <w:r w:rsidRPr="00D65531">
        <w:rPr>
          <w:rFonts w:ascii="Times New Roman" w:hAnsi="Times New Roman"/>
          <w:sz w:val="28"/>
          <w:szCs w:val="28"/>
          <w:u w:val="single"/>
        </w:rPr>
        <w:t>из стран СНГ</w:t>
      </w:r>
      <w:r w:rsidR="00386153">
        <w:rPr>
          <w:rFonts w:ascii="Times New Roman" w:hAnsi="Times New Roman"/>
          <w:sz w:val="28"/>
          <w:szCs w:val="28"/>
        </w:rPr>
        <w:t xml:space="preserve"> в 2017</w:t>
      </w:r>
      <w:r w:rsidRPr="00CD1997">
        <w:rPr>
          <w:rFonts w:ascii="Times New Roman" w:hAnsi="Times New Roman"/>
          <w:sz w:val="28"/>
          <w:szCs w:val="28"/>
        </w:rPr>
        <w:t xml:space="preserve"> году в срав</w:t>
      </w:r>
      <w:r w:rsidR="00386153">
        <w:rPr>
          <w:rFonts w:ascii="Times New Roman" w:hAnsi="Times New Roman"/>
          <w:sz w:val="28"/>
          <w:szCs w:val="28"/>
        </w:rPr>
        <w:t>нении с 2016</w:t>
      </w:r>
      <w:r>
        <w:rPr>
          <w:rFonts w:ascii="Times New Roman" w:hAnsi="Times New Roman"/>
          <w:sz w:val="28"/>
          <w:szCs w:val="28"/>
        </w:rPr>
        <w:t xml:space="preserve"> годом </w:t>
      </w:r>
      <w:proofErr w:type="gramStart"/>
      <w:r w:rsidR="00386153">
        <w:rPr>
          <w:rFonts w:ascii="Times New Roman" w:hAnsi="Times New Roman"/>
          <w:sz w:val="28"/>
          <w:szCs w:val="28"/>
          <w:u w:val="single"/>
        </w:rPr>
        <w:t xml:space="preserve">снизилась на 76,3% </w:t>
      </w:r>
      <w:r w:rsidRPr="00CD1997">
        <w:rPr>
          <w:rFonts w:ascii="Times New Roman" w:hAnsi="Times New Roman"/>
          <w:sz w:val="28"/>
          <w:szCs w:val="28"/>
          <w:u w:val="single"/>
        </w:rPr>
        <w:t xml:space="preserve"> и составил</w:t>
      </w:r>
      <w:proofErr w:type="gramEnd"/>
      <w:r w:rsidRPr="00CD19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6153">
        <w:rPr>
          <w:rFonts w:ascii="Times New Roman" w:hAnsi="Times New Roman"/>
          <w:sz w:val="28"/>
          <w:szCs w:val="28"/>
          <w:u w:val="single"/>
        </w:rPr>
        <w:t>74 529,9 тыс</w:t>
      </w:r>
      <w:r w:rsidRPr="00CD1997">
        <w:rPr>
          <w:rFonts w:ascii="Times New Roman" w:hAnsi="Times New Roman"/>
          <w:sz w:val="28"/>
          <w:szCs w:val="28"/>
          <w:u w:val="single"/>
        </w:rPr>
        <w:t>. долларов США,</w:t>
      </w:r>
      <w:r w:rsidRPr="00CD1997">
        <w:rPr>
          <w:rFonts w:ascii="Times New Roman" w:hAnsi="Times New Roman"/>
          <w:sz w:val="28"/>
          <w:szCs w:val="28"/>
        </w:rPr>
        <w:t xml:space="preserve"> что составило </w:t>
      </w:r>
      <w:r w:rsidR="00386153">
        <w:rPr>
          <w:rFonts w:ascii="Times New Roman" w:hAnsi="Times New Roman"/>
          <w:sz w:val="28"/>
          <w:szCs w:val="28"/>
        </w:rPr>
        <w:t>12,6</w:t>
      </w:r>
      <w:r w:rsidRPr="00CD1997">
        <w:rPr>
          <w:rFonts w:ascii="Times New Roman" w:hAnsi="Times New Roman"/>
          <w:sz w:val="28"/>
          <w:szCs w:val="28"/>
        </w:rPr>
        <w:t xml:space="preserve">% от всего объема поступлений. Объемы вложений, осуществленных инвесторами из </w:t>
      </w:r>
      <w:r w:rsidR="001546A2" w:rsidRPr="001546A2">
        <w:rPr>
          <w:rFonts w:ascii="Times New Roman" w:hAnsi="Times New Roman"/>
          <w:b/>
          <w:sz w:val="28"/>
          <w:szCs w:val="28"/>
        </w:rPr>
        <w:t>Казахстана</w:t>
      </w:r>
      <w:r w:rsidR="001546A2" w:rsidRPr="00CD1997">
        <w:rPr>
          <w:rFonts w:ascii="Times New Roman" w:hAnsi="Times New Roman"/>
          <w:sz w:val="28"/>
          <w:szCs w:val="28"/>
        </w:rPr>
        <w:t xml:space="preserve"> – </w:t>
      </w:r>
      <w:r w:rsidR="001546A2" w:rsidRPr="001546A2">
        <w:rPr>
          <w:rFonts w:ascii="Times New Roman" w:hAnsi="Times New Roman"/>
          <w:b/>
          <w:sz w:val="28"/>
          <w:szCs w:val="28"/>
        </w:rPr>
        <w:t>47 673,8 тыс. долларов США</w:t>
      </w:r>
      <w:r w:rsidR="001546A2">
        <w:rPr>
          <w:rFonts w:ascii="Times New Roman" w:hAnsi="Times New Roman"/>
          <w:b/>
          <w:sz w:val="28"/>
          <w:szCs w:val="28"/>
        </w:rPr>
        <w:t>,</w:t>
      </w:r>
      <w:r w:rsidR="001546A2" w:rsidRPr="00D65531">
        <w:rPr>
          <w:rFonts w:ascii="Times New Roman" w:hAnsi="Times New Roman"/>
          <w:b/>
          <w:sz w:val="28"/>
          <w:szCs w:val="28"/>
        </w:rPr>
        <w:t xml:space="preserve"> </w:t>
      </w:r>
      <w:r w:rsidR="001546A2" w:rsidRPr="00CD1997">
        <w:rPr>
          <w:rFonts w:ascii="Times New Roman" w:hAnsi="Times New Roman"/>
          <w:sz w:val="28"/>
          <w:szCs w:val="28"/>
        </w:rPr>
        <w:t>из</w:t>
      </w:r>
      <w:r w:rsidR="001546A2" w:rsidRPr="001546A2">
        <w:rPr>
          <w:rFonts w:ascii="Times New Roman" w:hAnsi="Times New Roman"/>
          <w:sz w:val="28"/>
          <w:szCs w:val="28"/>
        </w:rPr>
        <w:t xml:space="preserve"> </w:t>
      </w:r>
      <w:r w:rsidR="001546A2">
        <w:rPr>
          <w:rFonts w:ascii="Times New Roman" w:hAnsi="Times New Roman"/>
          <w:sz w:val="28"/>
          <w:szCs w:val="28"/>
        </w:rPr>
        <w:t>Российской Федерации</w:t>
      </w:r>
      <w:r w:rsidRPr="001546A2">
        <w:rPr>
          <w:rFonts w:ascii="Times New Roman" w:hAnsi="Times New Roman"/>
          <w:sz w:val="28"/>
          <w:szCs w:val="28"/>
        </w:rPr>
        <w:t xml:space="preserve"> составил </w:t>
      </w:r>
      <w:r w:rsidR="001546A2" w:rsidRPr="001546A2">
        <w:rPr>
          <w:rFonts w:ascii="Times New Roman" w:hAnsi="Times New Roman"/>
          <w:sz w:val="28"/>
          <w:szCs w:val="28"/>
        </w:rPr>
        <w:t>23 889,7 тыс</w:t>
      </w:r>
      <w:r w:rsidRPr="001546A2">
        <w:rPr>
          <w:rFonts w:ascii="Times New Roman" w:hAnsi="Times New Roman"/>
          <w:sz w:val="28"/>
          <w:szCs w:val="28"/>
        </w:rPr>
        <w:t>. долларов США</w:t>
      </w:r>
      <w:r>
        <w:rPr>
          <w:rFonts w:ascii="Times New Roman" w:hAnsi="Times New Roman"/>
          <w:sz w:val="28"/>
          <w:szCs w:val="28"/>
        </w:rPr>
        <w:t>.</w:t>
      </w:r>
      <w:r w:rsidRPr="00CD1997">
        <w:rPr>
          <w:rFonts w:ascii="Times New Roman" w:hAnsi="Times New Roman"/>
          <w:sz w:val="28"/>
          <w:szCs w:val="28"/>
        </w:rPr>
        <w:t xml:space="preserve"> </w:t>
      </w:r>
    </w:p>
    <w:p w:rsidR="0084257C" w:rsidRPr="00CD1997" w:rsidRDefault="0084257C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стран СНГ следует отметить Республику </w:t>
      </w:r>
      <w:r w:rsidR="001546A2">
        <w:rPr>
          <w:rFonts w:ascii="Times New Roman" w:hAnsi="Times New Roman"/>
          <w:sz w:val="28"/>
          <w:szCs w:val="28"/>
        </w:rPr>
        <w:t xml:space="preserve">Узбекистан. Темп роста ПИИ из </w:t>
      </w:r>
      <w:proofErr w:type="spellStart"/>
      <w:r w:rsidR="001546A2">
        <w:rPr>
          <w:rFonts w:ascii="Times New Roman" w:hAnsi="Times New Roman"/>
          <w:sz w:val="28"/>
          <w:szCs w:val="28"/>
        </w:rPr>
        <w:t>РУз</w:t>
      </w:r>
      <w:proofErr w:type="spellEnd"/>
      <w:r w:rsidR="001546A2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г. составил </w:t>
      </w:r>
      <w:r w:rsidR="001546A2">
        <w:rPr>
          <w:rFonts w:ascii="Times New Roman" w:hAnsi="Times New Roman"/>
          <w:sz w:val="28"/>
          <w:szCs w:val="28"/>
        </w:rPr>
        <w:t>16 724,2%, которые составили 2 759,5 тыс</w:t>
      </w:r>
      <w:r w:rsidRPr="00CD1997">
        <w:rPr>
          <w:rFonts w:ascii="Times New Roman" w:hAnsi="Times New Roman"/>
          <w:sz w:val="28"/>
          <w:szCs w:val="28"/>
        </w:rPr>
        <w:t>. долларов США.</w:t>
      </w:r>
    </w:p>
    <w:p w:rsidR="0084257C" w:rsidRDefault="001546A2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87,4</w:t>
      </w:r>
      <w:r w:rsidR="0084257C" w:rsidRPr="00D65531">
        <w:rPr>
          <w:rFonts w:ascii="Times New Roman" w:hAnsi="Times New Roman"/>
          <w:sz w:val="28"/>
          <w:szCs w:val="28"/>
          <w:u w:val="single"/>
        </w:rPr>
        <w:t>% от всего объема ПИИ приходится на страны вне СНГ</w:t>
      </w:r>
      <w:r w:rsidR="0084257C" w:rsidRPr="00CD1997">
        <w:rPr>
          <w:rFonts w:ascii="Times New Roman" w:hAnsi="Times New Roman"/>
          <w:sz w:val="28"/>
          <w:szCs w:val="28"/>
        </w:rPr>
        <w:t xml:space="preserve">. </w:t>
      </w:r>
    </w:p>
    <w:p w:rsidR="0084257C" w:rsidRDefault="0084257C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из </w:t>
      </w:r>
      <w:r w:rsidR="001546A2">
        <w:rPr>
          <w:rFonts w:ascii="Times New Roman" w:hAnsi="Times New Roman"/>
          <w:b/>
          <w:sz w:val="28"/>
          <w:szCs w:val="28"/>
        </w:rPr>
        <w:t>КНР составили 269 953,4 тыс. долл. США, 45,7</w:t>
      </w:r>
      <w:r w:rsidRPr="00D65531">
        <w:rPr>
          <w:rFonts w:ascii="Times New Roman" w:hAnsi="Times New Roman"/>
          <w:b/>
          <w:sz w:val="28"/>
          <w:szCs w:val="28"/>
        </w:rPr>
        <w:t>%</w:t>
      </w:r>
      <w:r w:rsidR="001546A2">
        <w:rPr>
          <w:rFonts w:ascii="Times New Roman" w:hAnsi="Times New Roman"/>
          <w:sz w:val="28"/>
          <w:szCs w:val="28"/>
        </w:rPr>
        <w:t xml:space="preserve"> от всего объема, и снизились на 10,4% по сравнению с 2016</w:t>
      </w:r>
      <w:r>
        <w:rPr>
          <w:rFonts w:ascii="Times New Roman" w:hAnsi="Times New Roman"/>
          <w:sz w:val="28"/>
          <w:szCs w:val="28"/>
        </w:rPr>
        <w:t>г.</w:t>
      </w:r>
    </w:p>
    <w:p w:rsidR="0084257C" w:rsidRPr="00D65531" w:rsidRDefault="0084257C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D1997">
        <w:rPr>
          <w:rFonts w:ascii="Times New Roman" w:hAnsi="Times New Roman"/>
          <w:sz w:val="28"/>
          <w:szCs w:val="28"/>
        </w:rPr>
        <w:t xml:space="preserve">Также увеличились </w:t>
      </w:r>
      <w:r w:rsidRPr="00782D44">
        <w:rPr>
          <w:rFonts w:ascii="Times New Roman" w:hAnsi="Times New Roman"/>
          <w:sz w:val="28"/>
          <w:szCs w:val="28"/>
        </w:rPr>
        <w:t xml:space="preserve">поступления из </w:t>
      </w:r>
      <w:r w:rsidR="002C5195" w:rsidRPr="00782D44">
        <w:rPr>
          <w:rFonts w:ascii="Times New Roman" w:hAnsi="Times New Roman"/>
          <w:sz w:val="28"/>
          <w:szCs w:val="28"/>
        </w:rPr>
        <w:t>Соединенного Королевства</w:t>
      </w:r>
      <w:r w:rsidR="002C5195" w:rsidRPr="00782D44">
        <w:rPr>
          <w:rFonts w:ascii="Times New Roman" w:hAnsi="Times New Roman"/>
          <w:sz w:val="28"/>
          <w:szCs w:val="28"/>
        </w:rPr>
        <w:t xml:space="preserve"> </w:t>
      </w:r>
      <w:r w:rsidR="002C5195">
        <w:rPr>
          <w:rFonts w:ascii="Times New Roman" w:hAnsi="Times New Roman"/>
          <w:sz w:val="28"/>
          <w:szCs w:val="28"/>
        </w:rPr>
        <w:t>на</w:t>
      </w:r>
      <w:r w:rsidRPr="00782D44">
        <w:rPr>
          <w:rFonts w:ascii="Times New Roman" w:hAnsi="Times New Roman"/>
          <w:sz w:val="28"/>
          <w:szCs w:val="28"/>
        </w:rPr>
        <w:t xml:space="preserve"> </w:t>
      </w:r>
      <w:r w:rsidR="002C5195">
        <w:rPr>
          <w:rFonts w:ascii="Times New Roman" w:hAnsi="Times New Roman"/>
          <w:sz w:val="28"/>
          <w:szCs w:val="28"/>
        </w:rPr>
        <w:t>3899,6 % – 28 178,6 тыс. долл. США (4,8</w:t>
      </w:r>
      <w:r w:rsidRPr="00782D44">
        <w:rPr>
          <w:rFonts w:ascii="Times New Roman" w:hAnsi="Times New Roman"/>
          <w:sz w:val="28"/>
          <w:szCs w:val="28"/>
        </w:rPr>
        <w:t>% от всего объема); из</w:t>
      </w:r>
      <w:r w:rsidR="002C5195">
        <w:rPr>
          <w:rFonts w:ascii="Times New Roman" w:hAnsi="Times New Roman"/>
          <w:sz w:val="28"/>
          <w:szCs w:val="28"/>
        </w:rPr>
        <w:t xml:space="preserve"> Германии</w:t>
      </w:r>
      <w:r w:rsidRPr="00782D44">
        <w:rPr>
          <w:rFonts w:ascii="Times New Roman" w:hAnsi="Times New Roman"/>
          <w:sz w:val="28"/>
          <w:szCs w:val="28"/>
        </w:rPr>
        <w:t xml:space="preserve"> </w:t>
      </w:r>
      <w:r w:rsidRPr="00782D44">
        <w:rPr>
          <w:rFonts w:cs="Calibri"/>
          <w:szCs w:val="24"/>
        </w:rPr>
        <w:t xml:space="preserve"> </w:t>
      </w:r>
      <w:r w:rsidR="002C5195">
        <w:rPr>
          <w:rFonts w:ascii="Times New Roman" w:hAnsi="Times New Roman"/>
          <w:sz w:val="28"/>
          <w:szCs w:val="28"/>
        </w:rPr>
        <w:t>в 5,5 раза – 3 944</w:t>
      </w:r>
      <w:r w:rsidRPr="00782D44">
        <w:rPr>
          <w:rFonts w:ascii="Times New Roman" w:hAnsi="Times New Roman"/>
          <w:sz w:val="28"/>
          <w:szCs w:val="28"/>
        </w:rPr>
        <w:t>.</w:t>
      </w:r>
      <w:r w:rsidR="002C5195">
        <w:rPr>
          <w:rFonts w:ascii="Times New Roman" w:hAnsi="Times New Roman"/>
          <w:sz w:val="28"/>
          <w:szCs w:val="28"/>
        </w:rPr>
        <w:t>5 тыс. долл. США (0,7</w:t>
      </w:r>
      <w:r w:rsidRPr="00782D44">
        <w:rPr>
          <w:rFonts w:ascii="Times New Roman" w:hAnsi="Times New Roman"/>
          <w:sz w:val="28"/>
          <w:szCs w:val="28"/>
        </w:rPr>
        <w:t>% от всего объема).</w:t>
      </w:r>
    </w:p>
    <w:p w:rsidR="0084257C" w:rsidRDefault="0084257C" w:rsidP="008425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регионов 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, по </w:t>
      </w:r>
      <w:r w:rsidR="002C5195">
        <w:rPr>
          <w:rFonts w:ascii="Times New Roman" w:hAnsi="Times New Roman"/>
          <w:sz w:val="28"/>
          <w:szCs w:val="28"/>
        </w:rPr>
        <w:t>итогам 2017</w:t>
      </w:r>
      <w:r w:rsidRPr="005C5BCF">
        <w:rPr>
          <w:rFonts w:ascii="Times New Roman" w:hAnsi="Times New Roman"/>
          <w:sz w:val="28"/>
          <w:szCs w:val="28"/>
        </w:rPr>
        <w:t xml:space="preserve"> года, наибольший </w:t>
      </w:r>
      <w:r>
        <w:rPr>
          <w:rFonts w:ascii="Times New Roman" w:hAnsi="Times New Roman"/>
          <w:sz w:val="28"/>
          <w:szCs w:val="28"/>
        </w:rPr>
        <w:t xml:space="preserve">удельный вес поступлений ПИИ пришелся в </w:t>
      </w:r>
      <w:r w:rsidR="002C5195">
        <w:rPr>
          <w:rFonts w:ascii="Times New Roman" w:hAnsi="Times New Roman"/>
          <w:b/>
          <w:sz w:val="28"/>
          <w:szCs w:val="28"/>
        </w:rPr>
        <w:t>г.</w:t>
      </w:r>
      <w:r w:rsidR="002F598D">
        <w:rPr>
          <w:rFonts w:ascii="Times New Roman" w:hAnsi="Times New Roman"/>
          <w:b/>
          <w:sz w:val="28"/>
          <w:szCs w:val="28"/>
        </w:rPr>
        <w:t xml:space="preserve"> </w:t>
      </w:r>
      <w:r w:rsidR="002C5195">
        <w:rPr>
          <w:rFonts w:ascii="Times New Roman" w:hAnsi="Times New Roman"/>
          <w:b/>
          <w:sz w:val="28"/>
          <w:szCs w:val="28"/>
        </w:rPr>
        <w:t>Бишкек, составив 188 757,0 тыс.</w:t>
      </w:r>
      <w:r w:rsidRPr="00D65531">
        <w:rPr>
          <w:rFonts w:ascii="Times New Roman" w:hAnsi="Times New Roman"/>
          <w:b/>
          <w:sz w:val="28"/>
          <w:szCs w:val="28"/>
        </w:rPr>
        <w:t xml:space="preserve"> долл. США</w:t>
      </w:r>
      <w:r w:rsidRPr="005C5BCF">
        <w:rPr>
          <w:rFonts w:ascii="Times New Roman" w:hAnsi="Times New Roman"/>
          <w:sz w:val="28"/>
          <w:szCs w:val="28"/>
        </w:rPr>
        <w:t xml:space="preserve"> (</w:t>
      </w:r>
      <w:r w:rsidR="002C5195">
        <w:rPr>
          <w:rFonts w:ascii="Times New Roman" w:hAnsi="Times New Roman"/>
          <w:sz w:val="28"/>
          <w:szCs w:val="28"/>
        </w:rPr>
        <w:t>32</w:t>
      </w:r>
      <w:r w:rsidRPr="005C5BC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всего объема</w:t>
      </w:r>
      <w:r w:rsidR="002C5195">
        <w:rPr>
          <w:rFonts w:ascii="Times New Roman" w:hAnsi="Times New Roman"/>
          <w:sz w:val="28"/>
          <w:szCs w:val="28"/>
        </w:rPr>
        <w:t>) и в сравнении с 2016 годом снизились</w:t>
      </w:r>
      <w:r w:rsidRPr="005C5BCF">
        <w:rPr>
          <w:rFonts w:ascii="Times New Roman" w:hAnsi="Times New Roman"/>
          <w:sz w:val="28"/>
          <w:szCs w:val="28"/>
        </w:rPr>
        <w:t xml:space="preserve"> </w:t>
      </w:r>
      <w:r w:rsidR="002C5195">
        <w:rPr>
          <w:rFonts w:ascii="Times New Roman" w:hAnsi="Times New Roman"/>
          <w:sz w:val="28"/>
          <w:szCs w:val="28"/>
        </w:rPr>
        <w:t>в 2</w:t>
      </w:r>
      <w:r>
        <w:rPr>
          <w:rFonts w:ascii="Times New Roman" w:hAnsi="Times New Roman"/>
          <w:sz w:val="28"/>
          <w:szCs w:val="28"/>
        </w:rPr>
        <w:t xml:space="preserve"> раза.</w:t>
      </w:r>
      <w:r w:rsidRPr="005C5BCF">
        <w:rPr>
          <w:rFonts w:ascii="Times New Roman" w:hAnsi="Times New Roman"/>
          <w:sz w:val="28"/>
          <w:szCs w:val="28"/>
        </w:rPr>
        <w:t xml:space="preserve"> </w:t>
      </w:r>
    </w:p>
    <w:p w:rsidR="0084257C" w:rsidRDefault="0084257C" w:rsidP="008425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Чуйскую о</w:t>
      </w:r>
      <w:r w:rsidR="002C5195">
        <w:rPr>
          <w:rFonts w:ascii="Times New Roman" w:hAnsi="Times New Roman"/>
          <w:sz w:val="28"/>
          <w:szCs w:val="28"/>
        </w:rPr>
        <w:t>бласть приток ПИИ составил 163 676,5 тыс. долл. США (27,7</w:t>
      </w:r>
      <w:r>
        <w:rPr>
          <w:rFonts w:ascii="Times New Roman" w:hAnsi="Times New Roman"/>
          <w:sz w:val="28"/>
          <w:szCs w:val="28"/>
        </w:rPr>
        <w:t>%</w:t>
      </w:r>
      <w:r w:rsidR="002C5195">
        <w:rPr>
          <w:rFonts w:ascii="Times New Roman" w:hAnsi="Times New Roman"/>
          <w:sz w:val="28"/>
          <w:szCs w:val="28"/>
        </w:rPr>
        <w:t xml:space="preserve"> от общего объема), снизились на 21,8 %</w:t>
      </w:r>
      <w:r>
        <w:rPr>
          <w:rFonts w:ascii="Times New Roman" w:hAnsi="Times New Roman"/>
          <w:sz w:val="28"/>
          <w:szCs w:val="28"/>
        </w:rPr>
        <w:t>.</w:t>
      </w:r>
    </w:p>
    <w:p w:rsidR="0084257C" w:rsidRPr="00D65531" w:rsidRDefault="0084257C" w:rsidP="0084257C">
      <w:pPr>
        <w:rPr>
          <w:rFonts w:ascii="Times New Roman" w:hAnsi="Times New Roman"/>
          <w:b/>
          <w:sz w:val="24"/>
        </w:rPr>
      </w:pPr>
      <w:r w:rsidRPr="00D65531">
        <w:rPr>
          <w:rFonts w:ascii="Times New Roman" w:hAnsi="Times New Roman"/>
          <w:b/>
          <w:sz w:val="24"/>
        </w:rPr>
        <w:t>Поступление инве</w:t>
      </w:r>
      <w:r w:rsidR="00FE5445">
        <w:rPr>
          <w:rFonts w:ascii="Times New Roman" w:hAnsi="Times New Roman"/>
          <w:b/>
          <w:sz w:val="24"/>
        </w:rPr>
        <w:t>стиций за 2011-2017</w:t>
      </w:r>
      <w:r w:rsidRPr="00D65531">
        <w:rPr>
          <w:rFonts w:ascii="Times New Roman" w:hAnsi="Times New Roman"/>
          <w:b/>
          <w:sz w:val="24"/>
        </w:rPr>
        <w:t>гг. в млн. долл. США</w:t>
      </w:r>
      <w:r w:rsidR="002F598D">
        <w:rPr>
          <w:rFonts w:ascii="Times New Roman" w:hAnsi="Times New Roman"/>
          <w:b/>
          <w:sz w:val="24"/>
        </w:rPr>
        <w:t xml:space="preserve"> (предварительно)</w:t>
      </w:r>
    </w:p>
    <w:p w:rsidR="0084257C" w:rsidRPr="00632401" w:rsidRDefault="00FE5445" w:rsidP="0084257C">
      <w:r>
        <w:rPr>
          <w:noProof/>
          <w:lang w:eastAsia="ru-RU"/>
        </w:rPr>
        <w:drawing>
          <wp:inline distT="0" distB="0" distL="0" distR="0" wp14:anchorId="03376BE5" wp14:editId="0032E445">
            <wp:extent cx="5835485" cy="3135085"/>
            <wp:effectExtent l="19050" t="0" r="12865" b="8165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FE5445" w:rsidRDefault="00FE5445" w:rsidP="0084257C">
      <w:pPr>
        <w:ind w:right="-143"/>
        <w:rPr>
          <w:rFonts w:ascii="Times New Roman" w:hAnsi="Times New Roman"/>
          <w:b/>
          <w:sz w:val="24"/>
        </w:rPr>
      </w:pPr>
    </w:p>
    <w:p w:rsidR="0084257C" w:rsidRPr="00D65531" w:rsidRDefault="0084257C" w:rsidP="0084257C">
      <w:pPr>
        <w:ind w:right="-143"/>
        <w:rPr>
          <w:rFonts w:ascii="Times New Roman" w:hAnsi="Times New Roman"/>
          <w:b/>
          <w:sz w:val="24"/>
        </w:rPr>
      </w:pPr>
      <w:r w:rsidRPr="00D65531">
        <w:rPr>
          <w:rFonts w:ascii="Times New Roman" w:hAnsi="Times New Roman"/>
          <w:b/>
          <w:sz w:val="24"/>
        </w:rPr>
        <w:lastRenderedPageBreak/>
        <w:t xml:space="preserve">Поступление </w:t>
      </w:r>
      <w:r w:rsidR="00FE5445">
        <w:rPr>
          <w:rFonts w:ascii="Times New Roman" w:hAnsi="Times New Roman"/>
          <w:b/>
          <w:sz w:val="24"/>
        </w:rPr>
        <w:t>ПИИ по сферам деятельности. 2017</w:t>
      </w:r>
      <w:r w:rsidRPr="00D65531">
        <w:rPr>
          <w:rFonts w:ascii="Times New Roman" w:hAnsi="Times New Roman"/>
          <w:b/>
          <w:sz w:val="24"/>
        </w:rPr>
        <w:t xml:space="preserve"> год </w:t>
      </w:r>
      <w:proofErr w:type="gramStart"/>
      <w:r w:rsidRPr="00D65531">
        <w:rPr>
          <w:rFonts w:ascii="Times New Roman" w:hAnsi="Times New Roman"/>
          <w:b/>
          <w:sz w:val="24"/>
        </w:rPr>
        <w:t>в</w:t>
      </w:r>
      <w:proofErr w:type="gramEnd"/>
      <w:r w:rsidRPr="00D65531">
        <w:rPr>
          <w:rFonts w:ascii="Times New Roman" w:hAnsi="Times New Roman"/>
          <w:b/>
          <w:sz w:val="24"/>
        </w:rPr>
        <w:t xml:space="preserve"> %.</w:t>
      </w:r>
      <w:r w:rsidR="002F598D">
        <w:rPr>
          <w:rFonts w:ascii="Times New Roman" w:hAnsi="Times New Roman"/>
          <w:b/>
          <w:sz w:val="24"/>
        </w:rPr>
        <w:t xml:space="preserve"> (предварительно)</w:t>
      </w:r>
    </w:p>
    <w:p w:rsidR="0084257C" w:rsidRDefault="00FE5445" w:rsidP="0084257C">
      <w:r>
        <w:rPr>
          <w:noProof/>
          <w:lang w:eastAsia="ru-RU"/>
        </w:rPr>
        <w:drawing>
          <wp:inline distT="0" distB="0" distL="0" distR="0" wp14:anchorId="131A48A1" wp14:editId="7260FF1C">
            <wp:extent cx="5940425" cy="4025665"/>
            <wp:effectExtent l="0" t="0" r="22225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257C" w:rsidRPr="00BB0793" w:rsidRDefault="0084257C" w:rsidP="0084257C">
      <w:pPr>
        <w:rPr>
          <w:rFonts w:ascii="Times New Roman" w:hAnsi="Times New Roman"/>
          <w:b/>
          <w:sz w:val="24"/>
          <w:szCs w:val="24"/>
        </w:rPr>
      </w:pPr>
      <w:r w:rsidRPr="00BB0793">
        <w:rPr>
          <w:rFonts w:ascii="Times New Roman" w:hAnsi="Times New Roman"/>
          <w:b/>
          <w:sz w:val="24"/>
          <w:szCs w:val="24"/>
        </w:rPr>
        <w:t xml:space="preserve">ПИИ в </w:t>
      </w:r>
      <w:r>
        <w:rPr>
          <w:rFonts w:ascii="Times New Roman" w:hAnsi="Times New Roman"/>
          <w:b/>
          <w:sz w:val="24"/>
          <w:szCs w:val="24"/>
        </w:rPr>
        <w:t>тыс.</w:t>
      </w:r>
      <w:r w:rsidR="002F59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долл. США </w:t>
      </w:r>
      <w:r w:rsidR="00FE5445">
        <w:rPr>
          <w:rFonts w:ascii="Times New Roman" w:hAnsi="Times New Roman"/>
          <w:b/>
          <w:sz w:val="24"/>
          <w:szCs w:val="24"/>
        </w:rPr>
        <w:t>по регионам за 2017</w:t>
      </w:r>
      <w:r w:rsidRPr="00BB0793">
        <w:rPr>
          <w:rFonts w:ascii="Times New Roman" w:hAnsi="Times New Roman"/>
          <w:b/>
          <w:sz w:val="24"/>
          <w:szCs w:val="24"/>
        </w:rPr>
        <w:t xml:space="preserve"> год</w:t>
      </w:r>
      <w:r w:rsidR="002F598D">
        <w:rPr>
          <w:rFonts w:ascii="Times New Roman" w:hAnsi="Times New Roman"/>
          <w:b/>
          <w:sz w:val="24"/>
          <w:szCs w:val="24"/>
        </w:rPr>
        <w:t xml:space="preserve"> (предварительно)</w:t>
      </w:r>
    </w:p>
    <w:p w:rsidR="0084257C" w:rsidRDefault="0084257C" w:rsidP="0084257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FE9BBF0" wp14:editId="24DBD921">
            <wp:extent cx="5834025" cy="3633849"/>
            <wp:effectExtent l="19050" t="0" r="14325" b="470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257C" w:rsidRDefault="0084257C" w:rsidP="0084257C"/>
    <w:p w:rsidR="00FE5445" w:rsidRDefault="00FE5445" w:rsidP="0084257C"/>
    <w:p w:rsidR="0084257C" w:rsidRPr="00B5430C" w:rsidRDefault="00FE5445" w:rsidP="008425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Доля ПИИ по странам за  2017</w:t>
      </w:r>
      <w:r w:rsidR="0084257C" w:rsidRPr="00B5430C">
        <w:rPr>
          <w:rFonts w:ascii="Times New Roman" w:hAnsi="Times New Roman"/>
          <w:b/>
          <w:sz w:val="24"/>
        </w:rPr>
        <w:t xml:space="preserve"> г.</w:t>
      </w:r>
      <w:r w:rsidR="002F598D">
        <w:rPr>
          <w:rFonts w:ascii="Times New Roman" w:hAnsi="Times New Roman"/>
          <w:b/>
          <w:sz w:val="24"/>
        </w:rPr>
        <w:t xml:space="preserve"> (предварительно) </w:t>
      </w:r>
    </w:p>
    <w:p w:rsidR="0084257C" w:rsidRDefault="00FE5445" w:rsidP="0084257C">
      <w:r w:rsidRPr="000644BF">
        <w:rPr>
          <w:noProof/>
          <w:lang w:eastAsia="ru-RU"/>
        </w:rPr>
        <w:drawing>
          <wp:inline distT="0" distB="0" distL="0" distR="0" wp14:anchorId="49AE940D" wp14:editId="4972A0BF">
            <wp:extent cx="5832120" cy="2541319"/>
            <wp:effectExtent l="0" t="0" r="16510" b="1143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39DD" w:rsidRDefault="00D139DD">
      <w:pPr>
        <w:rPr>
          <w:lang w:val="ky-KG"/>
        </w:rPr>
      </w:pPr>
    </w:p>
    <w:p w:rsidR="00FF7E02" w:rsidRDefault="00FF7E02">
      <w:pPr>
        <w:rPr>
          <w:lang w:val="ky-KG"/>
        </w:rPr>
      </w:pPr>
    </w:p>
    <w:p w:rsidR="00FF7E02" w:rsidRPr="001641A0" w:rsidRDefault="00FF7E02" w:rsidP="00A90CBF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поступлении прямых иностранных инвестиций за </w:t>
      </w:r>
      <w:r w:rsidRPr="001641A0">
        <w:rPr>
          <w:rFonts w:ascii="Times New Roman" w:hAnsi="Times New Roman"/>
          <w:b/>
          <w:sz w:val="28"/>
          <w:szCs w:val="28"/>
        </w:rPr>
        <w:t xml:space="preserve"> </w:t>
      </w:r>
      <w:r w:rsidR="00FE5445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  <w:r w:rsidR="00A90CBF" w:rsidRPr="00A90CBF">
        <w:rPr>
          <w:rFonts w:ascii="Times New Roman" w:hAnsi="Times New Roman"/>
          <w:b/>
          <w:sz w:val="28"/>
          <w:szCs w:val="28"/>
        </w:rPr>
        <w:t xml:space="preserve"> </w:t>
      </w:r>
    </w:p>
    <w:p w:rsidR="00FF7E02" w:rsidRDefault="00DF7FEF" w:rsidP="00A90C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FF7E02">
        <w:rPr>
          <w:rFonts w:ascii="Times New Roman" w:hAnsi="Times New Roman"/>
          <w:sz w:val="28"/>
          <w:szCs w:val="28"/>
        </w:rPr>
        <w:t xml:space="preserve"> </w:t>
      </w:r>
      <w:r w:rsidR="002F598D">
        <w:rPr>
          <w:rFonts w:ascii="Times New Roman" w:hAnsi="Times New Roman"/>
          <w:sz w:val="28"/>
          <w:szCs w:val="28"/>
        </w:rPr>
        <w:t xml:space="preserve">уточнённым </w:t>
      </w:r>
      <w:r w:rsidR="00FF7E02">
        <w:rPr>
          <w:rFonts w:ascii="Times New Roman" w:hAnsi="Times New Roman"/>
          <w:sz w:val="28"/>
          <w:szCs w:val="28"/>
        </w:rPr>
        <w:t>данным национально-</w:t>
      </w:r>
      <w:r w:rsidR="00A90CBF">
        <w:rPr>
          <w:rFonts w:ascii="Times New Roman" w:hAnsi="Times New Roman"/>
          <w:sz w:val="28"/>
          <w:szCs w:val="28"/>
        </w:rPr>
        <w:t>статистического</w:t>
      </w:r>
      <w:r w:rsidR="00FF7E02">
        <w:rPr>
          <w:rFonts w:ascii="Times New Roman" w:hAnsi="Times New Roman"/>
          <w:sz w:val="28"/>
          <w:szCs w:val="28"/>
        </w:rPr>
        <w:t xml:space="preserve"> комитета приток ПИИ за 2016 год </w:t>
      </w:r>
      <w:r w:rsidR="00FF7E02" w:rsidRPr="00D65531">
        <w:rPr>
          <w:rFonts w:ascii="Times New Roman" w:hAnsi="Times New Roman"/>
          <w:sz w:val="28"/>
          <w:szCs w:val="28"/>
        </w:rPr>
        <w:t xml:space="preserve">составил </w:t>
      </w:r>
      <w:r w:rsidR="00FE5445">
        <w:rPr>
          <w:rFonts w:ascii="Times New Roman" w:hAnsi="Times New Roman"/>
          <w:b/>
          <w:sz w:val="28"/>
          <w:szCs w:val="28"/>
        </w:rPr>
        <w:t>813 960,7 тыс</w:t>
      </w:r>
      <w:r w:rsidR="00FF7E02" w:rsidRPr="00D65531">
        <w:rPr>
          <w:rFonts w:ascii="Times New Roman" w:hAnsi="Times New Roman"/>
          <w:b/>
          <w:sz w:val="28"/>
          <w:szCs w:val="28"/>
        </w:rPr>
        <w:t>. долл.</w:t>
      </w:r>
      <w:r w:rsidR="00FF7E02">
        <w:rPr>
          <w:rFonts w:ascii="Times New Roman" w:hAnsi="Times New Roman"/>
          <w:sz w:val="28"/>
          <w:szCs w:val="28"/>
        </w:rPr>
        <w:t xml:space="preserve"> </w:t>
      </w:r>
      <w:r w:rsidR="00FF7E02" w:rsidRPr="00D65531">
        <w:rPr>
          <w:rFonts w:ascii="Times New Roman" w:hAnsi="Times New Roman"/>
          <w:b/>
          <w:sz w:val="28"/>
          <w:szCs w:val="28"/>
        </w:rPr>
        <w:t>США</w:t>
      </w:r>
      <w:r w:rsidR="00FF7E02">
        <w:rPr>
          <w:rFonts w:ascii="Times New Roman" w:hAnsi="Times New Roman"/>
          <w:sz w:val="28"/>
          <w:szCs w:val="28"/>
        </w:rPr>
        <w:t xml:space="preserve">, что меньше </w:t>
      </w:r>
      <w:r w:rsidR="00FF7E02" w:rsidRPr="00082292">
        <w:rPr>
          <w:rFonts w:ascii="Times New Roman" w:hAnsi="Times New Roman"/>
          <w:sz w:val="28"/>
          <w:szCs w:val="24"/>
        </w:rPr>
        <w:t xml:space="preserve">на </w:t>
      </w:r>
      <w:r w:rsidR="00B52B45">
        <w:rPr>
          <w:rFonts w:ascii="Times New Roman" w:hAnsi="Times New Roman"/>
          <w:sz w:val="28"/>
          <w:szCs w:val="24"/>
        </w:rPr>
        <w:t>48</w:t>
      </w:r>
      <w:r w:rsidR="00FE5445">
        <w:rPr>
          <w:rFonts w:ascii="Times New Roman" w:hAnsi="Times New Roman"/>
          <w:sz w:val="28"/>
          <w:szCs w:val="24"/>
        </w:rPr>
        <w:t>,</w:t>
      </w:r>
      <w:r w:rsidR="00B52B45">
        <w:rPr>
          <w:rFonts w:ascii="Times New Roman" w:hAnsi="Times New Roman"/>
          <w:sz w:val="28"/>
          <w:szCs w:val="24"/>
        </w:rPr>
        <w:t>3</w:t>
      </w:r>
      <w:r w:rsidR="00FF7E02" w:rsidRPr="00082292">
        <w:rPr>
          <w:rFonts w:ascii="Times New Roman" w:hAnsi="Times New Roman"/>
          <w:sz w:val="28"/>
          <w:szCs w:val="24"/>
        </w:rPr>
        <w:t xml:space="preserve"> %</w:t>
      </w:r>
      <w:r w:rsidR="00FF7E02">
        <w:rPr>
          <w:rFonts w:ascii="Times New Roman" w:hAnsi="Times New Roman"/>
          <w:sz w:val="28"/>
          <w:szCs w:val="24"/>
        </w:rPr>
        <w:t xml:space="preserve"> в сравнении с предыдущим годом.</w:t>
      </w:r>
    </w:p>
    <w:p w:rsidR="00FF7E02" w:rsidRDefault="00FF7E02" w:rsidP="00A90C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997">
        <w:rPr>
          <w:rFonts w:ascii="Times New Roman" w:hAnsi="Times New Roman"/>
          <w:sz w:val="28"/>
          <w:szCs w:val="28"/>
        </w:rPr>
        <w:t xml:space="preserve">По видам экономической деятельности наибольшая доля притока </w:t>
      </w:r>
      <w:r>
        <w:rPr>
          <w:rFonts w:ascii="Times New Roman" w:hAnsi="Times New Roman"/>
          <w:sz w:val="28"/>
          <w:szCs w:val="28"/>
        </w:rPr>
        <w:t>ПИИ</w:t>
      </w:r>
      <w:r w:rsidRPr="00CD1997">
        <w:rPr>
          <w:rFonts w:ascii="Times New Roman" w:hAnsi="Times New Roman"/>
          <w:sz w:val="28"/>
          <w:szCs w:val="28"/>
        </w:rPr>
        <w:t xml:space="preserve"> пришлась на </w:t>
      </w:r>
      <w:r>
        <w:rPr>
          <w:rFonts w:ascii="Times New Roman" w:hAnsi="Times New Roman"/>
          <w:sz w:val="28"/>
          <w:szCs w:val="28"/>
        </w:rPr>
        <w:t xml:space="preserve">сферу </w:t>
      </w:r>
      <w:r w:rsidR="00A4106F">
        <w:rPr>
          <w:rFonts w:ascii="Times New Roman" w:hAnsi="Times New Roman"/>
          <w:sz w:val="28"/>
          <w:szCs w:val="28"/>
        </w:rPr>
        <w:t xml:space="preserve">сельское хозяйство, лесное хозяйство и рыболовство </w:t>
      </w:r>
      <w:r>
        <w:rPr>
          <w:rFonts w:ascii="Times New Roman" w:hAnsi="Times New Roman"/>
          <w:sz w:val="28"/>
          <w:szCs w:val="28"/>
        </w:rPr>
        <w:t>(</w:t>
      </w:r>
      <w:r w:rsidR="00A4106F">
        <w:rPr>
          <w:rFonts w:ascii="Times New Roman" w:hAnsi="Times New Roman"/>
          <w:sz w:val="28"/>
          <w:szCs w:val="28"/>
        </w:rPr>
        <w:t>30,8</w:t>
      </w:r>
      <w:r>
        <w:rPr>
          <w:rFonts w:ascii="Times New Roman" w:hAnsi="Times New Roman"/>
          <w:sz w:val="28"/>
          <w:szCs w:val="28"/>
        </w:rPr>
        <w:t xml:space="preserve">%), сфера </w:t>
      </w:r>
      <w:r w:rsidR="00A4106F">
        <w:rPr>
          <w:rFonts w:ascii="Times New Roman" w:hAnsi="Times New Roman"/>
          <w:sz w:val="28"/>
          <w:szCs w:val="28"/>
        </w:rPr>
        <w:t>финансовое посредничество и страхование</w:t>
      </w:r>
      <w:r w:rsidRPr="00FF7E02">
        <w:rPr>
          <w:rFonts w:ascii="Times New Roman" w:hAnsi="Times New Roman"/>
          <w:sz w:val="28"/>
          <w:szCs w:val="28"/>
        </w:rPr>
        <w:t xml:space="preserve"> (</w:t>
      </w:r>
      <w:r w:rsidR="00A4106F">
        <w:rPr>
          <w:rFonts w:ascii="Times New Roman" w:hAnsi="Times New Roman"/>
          <w:sz w:val="28"/>
          <w:szCs w:val="28"/>
        </w:rPr>
        <w:t>22,0</w:t>
      </w:r>
      <w:r w:rsidRPr="00FF7E0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D1997">
        <w:rPr>
          <w:rFonts w:ascii="Times New Roman" w:hAnsi="Times New Roman"/>
          <w:sz w:val="28"/>
          <w:szCs w:val="28"/>
        </w:rPr>
        <w:t>профессиональную, научную и техническую деятельность (</w:t>
      </w:r>
      <w:r w:rsidR="00A4106F">
        <w:rPr>
          <w:rFonts w:ascii="Times New Roman" w:hAnsi="Times New Roman"/>
          <w:sz w:val="28"/>
          <w:szCs w:val="28"/>
        </w:rPr>
        <w:t>20,3</w:t>
      </w:r>
      <w:r w:rsidRPr="00CD199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A90CBF" w:rsidRPr="00A90CBF" w:rsidRDefault="00A90CBF" w:rsidP="00A90CBF">
      <w:pPr>
        <w:tabs>
          <w:tab w:val="left" w:pos="6430"/>
        </w:tabs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90CBF">
        <w:rPr>
          <w:rFonts w:ascii="Times New Roman" w:hAnsi="Times New Roman"/>
          <w:b/>
          <w:sz w:val="28"/>
          <w:szCs w:val="28"/>
        </w:rPr>
        <w:t>Приток ПИИ из стран СНГ</w:t>
      </w:r>
      <w:r w:rsidR="00A4106F">
        <w:rPr>
          <w:rFonts w:ascii="Times New Roman" w:hAnsi="Times New Roman"/>
          <w:sz w:val="28"/>
          <w:szCs w:val="28"/>
        </w:rPr>
        <w:t xml:space="preserve"> в 2016 году в сравнении с</w:t>
      </w:r>
      <w:r w:rsidRPr="00A90CBF">
        <w:rPr>
          <w:rFonts w:ascii="Times New Roman" w:hAnsi="Times New Roman"/>
          <w:sz w:val="28"/>
          <w:szCs w:val="28"/>
        </w:rPr>
        <w:t xml:space="preserve"> 2015 годом </w:t>
      </w:r>
      <w:r w:rsidR="00A4106F">
        <w:rPr>
          <w:rFonts w:ascii="Times New Roman" w:hAnsi="Times New Roman"/>
          <w:sz w:val="28"/>
          <w:szCs w:val="28"/>
          <w:u w:val="single"/>
        </w:rPr>
        <w:t>снизился на 45,5% и составил 314 789,9 тыс</w:t>
      </w:r>
      <w:r w:rsidRPr="00A90CBF">
        <w:rPr>
          <w:rFonts w:ascii="Times New Roman" w:hAnsi="Times New Roman"/>
          <w:sz w:val="28"/>
          <w:szCs w:val="28"/>
          <w:u w:val="single"/>
        </w:rPr>
        <w:t>. долларов США,</w:t>
      </w:r>
      <w:r w:rsidR="00A4106F">
        <w:rPr>
          <w:rFonts w:ascii="Times New Roman" w:hAnsi="Times New Roman"/>
          <w:sz w:val="28"/>
          <w:szCs w:val="28"/>
        </w:rPr>
        <w:t xml:space="preserve"> что составило 38,7</w:t>
      </w:r>
      <w:r w:rsidRPr="00A90CBF">
        <w:rPr>
          <w:rFonts w:ascii="Times New Roman" w:hAnsi="Times New Roman"/>
          <w:sz w:val="28"/>
          <w:szCs w:val="28"/>
        </w:rPr>
        <w:t>% от всего объ</w:t>
      </w:r>
      <w:r w:rsidR="007357ED">
        <w:rPr>
          <w:rFonts w:ascii="Times New Roman" w:hAnsi="Times New Roman"/>
          <w:sz w:val="28"/>
          <w:szCs w:val="28"/>
        </w:rPr>
        <w:t xml:space="preserve">ема поступлений. Объем </w:t>
      </w:r>
      <w:proofErr w:type="gramStart"/>
      <w:r w:rsidR="007357ED">
        <w:rPr>
          <w:rFonts w:ascii="Times New Roman" w:hAnsi="Times New Roman"/>
          <w:sz w:val="28"/>
          <w:szCs w:val="28"/>
        </w:rPr>
        <w:t>вложений</w:t>
      </w:r>
      <w:r w:rsidR="002F598D">
        <w:rPr>
          <w:rFonts w:ascii="Times New Roman" w:hAnsi="Times New Roman"/>
          <w:sz w:val="28"/>
          <w:szCs w:val="28"/>
        </w:rPr>
        <w:t>,</w:t>
      </w:r>
      <w:r w:rsidRPr="00A90CBF">
        <w:rPr>
          <w:rFonts w:ascii="Times New Roman" w:hAnsi="Times New Roman"/>
          <w:sz w:val="28"/>
          <w:szCs w:val="28"/>
        </w:rPr>
        <w:t xml:space="preserve"> осуществленных инвесторами из Р</w:t>
      </w:r>
      <w:r w:rsidR="00A4106F">
        <w:rPr>
          <w:rFonts w:ascii="Times New Roman" w:hAnsi="Times New Roman"/>
          <w:sz w:val="28"/>
          <w:szCs w:val="28"/>
        </w:rPr>
        <w:t>оссийской Федерации составил</w:t>
      </w:r>
      <w:proofErr w:type="gramEnd"/>
      <w:r w:rsidR="00A4106F">
        <w:rPr>
          <w:rFonts w:ascii="Times New Roman" w:hAnsi="Times New Roman"/>
          <w:sz w:val="28"/>
          <w:szCs w:val="28"/>
        </w:rPr>
        <w:t xml:space="preserve"> 291 537,5  тыс</w:t>
      </w:r>
      <w:r w:rsidRPr="00A90CBF">
        <w:rPr>
          <w:rFonts w:ascii="Times New Roman" w:hAnsi="Times New Roman"/>
          <w:sz w:val="28"/>
          <w:szCs w:val="28"/>
        </w:rPr>
        <w:t xml:space="preserve">. долларов США. </w:t>
      </w:r>
    </w:p>
    <w:p w:rsidR="00A90CBF" w:rsidRPr="00A90CBF" w:rsidRDefault="00A4106F" w:rsidP="00A90CBF">
      <w:pPr>
        <w:tabs>
          <w:tab w:val="left" w:pos="6430"/>
        </w:tabs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61,3</w:t>
      </w:r>
      <w:r w:rsidR="00A90CBF" w:rsidRPr="00A90CBF">
        <w:rPr>
          <w:rFonts w:ascii="Times New Roman" w:hAnsi="Times New Roman"/>
          <w:b/>
          <w:sz w:val="28"/>
          <w:szCs w:val="28"/>
        </w:rPr>
        <w:t xml:space="preserve">% от всего объема ПИИ приходится на страны вне СНГ. </w:t>
      </w:r>
    </w:p>
    <w:p w:rsidR="00A90CBF" w:rsidRPr="00A90CBF" w:rsidRDefault="00A4106F" w:rsidP="00A90CBF">
      <w:pPr>
        <w:tabs>
          <w:tab w:val="left" w:pos="6430"/>
        </w:tabs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из КНР составили 301 303,1 тыс. долл. США, 37</w:t>
      </w:r>
      <w:r w:rsidR="00A90CBF" w:rsidRPr="00A90CBF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всего объема, и снизился на 36,5</w:t>
      </w:r>
      <w:r w:rsidR="00A90CBF" w:rsidRPr="00A90CBF">
        <w:rPr>
          <w:rFonts w:ascii="Times New Roman" w:hAnsi="Times New Roman"/>
          <w:sz w:val="28"/>
          <w:szCs w:val="28"/>
        </w:rPr>
        <w:t>% в сравнении с 2015г.</w:t>
      </w:r>
    </w:p>
    <w:p w:rsidR="00FF7E02" w:rsidRPr="00A90CBF" w:rsidRDefault="00FF7E02" w:rsidP="00A90C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0CBF">
        <w:rPr>
          <w:rFonts w:ascii="Times New Roman" w:hAnsi="Times New Roman"/>
          <w:sz w:val="28"/>
          <w:szCs w:val="28"/>
        </w:rPr>
        <w:t xml:space="preserve">В разрезе регионов </w:t>
      </w:r>
      <w:proofErr w:type="gramStart"/>
      <w:r w:rsidRPr="00A90CBF">
        <w:rPr>
          <w:rFonts w:ascii="Times New Roman" w:hAnsi="Times New Roman"/>
          <w:sz w:val="28"/>
          <w:szCs w:val="28"/>
        </w:rPr>
        <w:t>КР</w:t>
      </w:r>
      <w:proofErr w:type="gramEnd"/>
      <w:r w:rsidRPr="00A90CBF">
        <w:rPr>
          <w:rFonts w:ascii="Times New Roman" w:hAnsi="Times New Roman"/>
          <w:sz w:val="28"/>
          <w:szCs w:val="28"/>
        </w:rPr>
        <w:t xml:space="preserve">, по итогам 2015 года, наибольший удельный вес поступлений ПИИ пришелся в </w:t>
      </w:r>
      <w:r w:rsidRPr="00A90CBF">
        <w:rPr>
          <w:rFonts w:ascii="Times New Roman" w:hAnsi="Times New Roman"/>
          <w:b/>
          <w:sz w:val="28"/>
          <w:szCs w:val="28"/>
        </w:rPr>
        <w:t>г.</w:t>
      </w:r>
      <w:r w:rsidR="002F598D">
        <w:rPr>
          <w:rFonts w:ascii="Times New Roman" w:hAnsi="Times New Roman"/>
          <w:b/>
          <w:sz w:val="28"/>
          <w:szCs w:val="28"/>
        </w:rPr>
        <w:t xml:space="preserve"> </w:t>
      </w:r>
      <w:r w:rsidRPr="00A90CBF">
        <w:rPr>
          <w:rFonts w:ascii="Times New Roman" w:hAnsi="Times New Roman"/>
          <w:b/>
          <w:sz w:val="28"/>
          <w:szCs w:val="28"/>
        </w:rPr>
        <w:t xml:space="preserve">Бишкек, составив </w:t>
      </w:r>
      <w:r w:rsidR="00A4106F">
        <w:rPr>
          <w:rFonts w:ascii="Times New Roman" w:hAnsi="Times New Roman"/>
          <w:b/>
          <w:sz w:val="28"/>
          <w:szCs w:val="28"/>
        </w:rPr>
        <w:t>385 727,9 тыс.</w:t>
      </w:r>
      <w:r w:rsidRPr="00A90CBF">
        <w:rPr>
          <w:rFonts w:ascii="Times New Roman" w:hAnsi="Times New Roman"/>
          <w:b/>
          <w:sz w:val="28"/>
          <w:szCs w:val="28"/>
        </w:rPr>
        <w:t xml:space="preserve"> долл. США</w:t>
      </w:r>
      <w:r w:rsidRPr="00A90CBF">
        <w:rPr>
          <w:rFonts w:ascii="Times New Roman" w:hAnsi="Times New Roman"/>
          <w:sz w:val="28"/>
          <w:szCs w:val="28"/>
        </w:rPr>
        <w:t xml:space="preserve"> (</w:t>
      </w:r>
      <w:r w:rsidR="00A4106F">
        <w:rPr>
          <w:rFonts w:ascii="Times New Roman" w:hAnsi="Times New Roman"/>
          <w:sz w:val="28"/>
          <w:szCs w:val="28"/>
        </w:rPr>
        <w:t>47,4</w:t>
      </w:r>
      <w:r w:rsidRPr="00A90CBF">
        <w:rPr>
          <w:rFonts w:ascii="Times New Roman" w:hAnsi="Times New Roman"/>
          <w:sz w:val="28"/>
          <w:szCs w:val="28"/>
        </w:rPr>
        <w:t>% от всего объема) и в сравнении с 201</w:t>
      </w:r>
      <w:r w:rsidR="00A90CBF" w:rsidRPr="00A90CBF">
        <w:rPr>
          <w:rFonts w:ascii="Times New Roman" w:hAnsi="Times New Roman"/>
          <w:sz w:val="28"/>
          <w:szCs w:val="28"/>
        </w:rPr>
        <w:t>5</w:t>
      </w:r>
      <w:r w:rsidRPr="00A90CBF">
        <w:rPr>
          <w:rFonts w:ascii="Times New Roman" w:hAnsi="Times New Roman"/>
          <w:sz w:val="28"/>
          <w:szCs w:val="28"/>
        </w:rPr>
        <w:t xml:space="preserve"> годом </w:t>
      </w:r>
      <w:r w:rsidR="00A90CBF" w:rsidRPr="00A90CBF">
        <w:rPr>
          <w:rFonts w:ascii="Times New Roman" w:hAnsi="Times New Roman"/>
          <w:sz w:val="28"/>
          <w:szCs w:val="28"/>
        </w:rPr>
        <w:t>приток снизился</w:t>
      </w:r>
      <w:r w:rsidRPr="00A90CBF">
        <w:rPr>
          <w:rFonts w:ascii="Times New Roman" w:hAnsi="Times New Roman"/>
          <w:sz w:val="28"/>
          <w:szCs w:val="28"/>
        </w:rPr>
        <w:t xml:space="preserve"> </w:t>
      </w:r>
      <w:r w:rsidR="00A4106F">
        <w:rPr>
          <w:rFonts w:ascii="Times New Roman" w:hAnsi="Times New Roman"/>
          <w:sz w:val="28"/>
          <w:szCs w:val="28"/>
        </w:rPr>
        <w:t>на 48</w:t>
      </w:r>
      <w:r w:rsidR="00A90CBF" w:rsidRPr="00A90CBF">
        <w:rPr>
          <w:rFonts w:ascii="Times New Roman" w:hAnsi="Times New Roman"/>
          <w:sz w:val="28"/>
          <w:szCs w:val="28"/>
        </w:rPr>
        <w:t>%</w:t>
      </w:r>
      <w:r w:rsidRPr="00A90CBF">
        <w:rPr>
          <w:rFonts w:ascii="Times New Roman" w:hAnsi="Times New Roman"/>
          <w:sz w:val="28"/>
          <w:szCs w:val="28"/>
        </w:rPr>
        <w:t xml:space="preserve">. </w:t>
      </w:r>
    </w:p>
    <w:p w:rsidR="00FF7E02" w:rsidRDefault="00FF7E02" w:rsidP="00A90C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0CBF">
        <w:rPr>
          <w:rFonts w:ascii="Times New Roman" w:hAnsi="Times New Roman"/>
          <w:sz w:val="28"/>
          <w:szCs w:val="28"/>
        </w:rPr>
        <w:t xml:space="preserve">В Чуйскую область приток ПИИ составил </w:t>
      </w:r>
      <w:r w:rsidR="00A4106F">
        <w:rPr>
          <w:rFonts w:ascii="Times New Roman" w:hAnsi="Times New Roman"/>
          <w:sz w:val="28"/>
          <w:szCs w:val="28"/>
        </w:rPr>
        <w:t>20</w:t>
      </w:r>
      <w:r w:rsidR="00A90CBF" w:rsidRPr="00A90CBF">
        <w:rPr>
          <w:rFonts w:ascii="Times New Roman" w:hAnsi="Times New Roman"/>
          <w:sz w:val="28"/>
          <w:szCs w:val="28"/>
        </w:rPr>
        <w:t>9</w:t>
      </w:r>
      <w:r w:rsidR="007357ED">
        <w:rPr>
          <w:rFonts w:ascii="Times New Roman" w:hAnsi="Times New Roman"/>
          <w:sz w:val="28"/>
          <w:szCs w:val="28"/>
        </w:rPr>
        <w:t> 415 тыс</w:t>
      </w:r>
      <w:r w:rsidRPr="00A90CBF">
        <w:rPr>
          <w:rFonts w:ascii="Times New Roman" w:hAnsi="Times New Roman"/>
          <w:sz w:val="28"/>
          <w:szCs w:val="28"/>
        </w:rPr>
        <w:t>. долл. США (</w:t>
      </w:r>
      <w:r w:rsidR="007357ED">
        <w:rPr>
          <w:rFonts w:ascii="Times New Roman" w:hAnsi="Times New Roman"/>
          <w:sz w:val="28"/>
          <w:szCs w:val="28"/>
        </w:rPr>
        <w:t>25,7</w:t>
      </w:r>
      <w:r w:rsidRPr="00A90CBF">
        <w:rPr>
          <w:rFonts w:ascii="Times New Roman" w:hAnsi="Times New Roman"/>
          <w:sz w:val="28"/>
          <w:szCs w:val="28"/>
        </w:rPr>
        <w:t xml:space="preserve">% от общего объема), </w:t>
      </w:r>
      <w:r w:rsidR="007357ED">
        <w:rPr>
          <w:rFonts w:ascii="Times New Roman" w:hAnsi="Times New Roman"/>
          <w:sz w:val="28"/>
          <w:szCs w:val="28"/>
        </w:rPr>
        <w:t>снизившись на 53,8</w:t>
      </w:r>
      <w:r w:rsidR="00A90CBF" w:rsidRPr="00A90CBF">
        <w:rPr>
          <w:rFonts w:ascii="Times New Roman" w:hAnsi="Times New Roman"/>
          <w:sz w:val="28"/>
          <w:szCs w:val="28"/>
        </w:rPr>
        <w:t>%</w:t>
      </w:r>
      <w:r w:rsidRPr="00A90CBF">
        <w:rPr>
          <w:rFonts w:ascii="Times New Roman" w:hAnsi="Times New Roman"/>
          <w:sz w:val="28"/>
          <w:szCs w:val="28"/>
        </w:rPr>
        <w:t>.</w:t>
      </w:r>
    </w:p>
    <w:p w:rsidR="00A90CBF" w:rsidRPr="00A90CBF" w:rsidRDefault="00A90CBF" w:rsidP="00A90C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E02" w:rsidRPr="00A90CBF" w:rsidRDefault="00FF7E02" w:rsidP="00A90C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0CBF">
        <w:rPr>
          <w:rFonts w:ascii="Times New Roman" w:hAnsi="Times New Roman"/>
          <w:b/>
          <w:sz w:val="28"/>
          <w:szCs w:val="28"/>
        </w:rPr>
        <w:t>Поступление инвестиций за 2011-201</w:t>
      </w:r>
      <w:r w:rsidR="00471984">
        <w:rPr>
          <w:rFonts w:ascii="Times New Roman" w:hAnsi="Times New Roman"/>
          <w:b/>
          <w:sz w:val="28"/>
          <w:szCs w:val="28"/>
        </w:rPr>
        <w:t>6</w:t>
      </w:r>
      <w:r w:rsidRPr="00A90CBF">
        <w:rPr>
          <w:rFonts w:ascii="Times New Roman" w:hAnsi="Times New Roman"/>
          <w:b/>
          <w:sz w:val="28"/>
          <w:szCs w:val="28"/>
        </w:rPr>
        <w:t>гг. в млн. долл. США</w:t>
      </w:r>
    </w:p>
    <w:p w:rsidR="00FF7E02" w:rsidRPr="00632401" w:rsidRDefault="00FF7E02" w:rsidP="00FF7E02">
      <w:r>
        <w:rPr>
          <w:noProof/>
          <w:lang w:eastAsia="ru-RU"/>
        </w:rPr>
        <w:drawing>
          <wp:inline distT="0" distB="0" distL="0" distR="0" wp14:anchorId="406FBDDF" wp14:editId="19D3E46A">
            <wp:extent cx="5835485" cy="3135085"/>
            <wp:effectExtent l="19050" t="0" r="12865" b="81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E02" w:rsidRDefault="00FF7E02" w:rsidP="007357ED">
      <w:pPr>
        <w:ind w:right="-143"/>
      </w:pPr>
      <w:r w:rsidRPr="00D65531">
        <w:rPr>
          <w:rFonts w:ascii="Times New Roman" w:hAnsi="Times New Roman"/>
          <w:b/>
          <w:sz w:val="24"/>
        </w:rPr>
        <w:t>Поступление ПИИ по сферам деятельности. 201</w:t>
      </w:r>
      <w:r w:rsidR="00A90CBF">
        <w:rPr>
          <w:rFonts w:ascii="Times New Roman" w:hAnsi="Times New Roman"/>
          <w:b/>
          <w:sz w:val="24"/>
        </w:rPr>
        <w:t xml:space="preserve">6 год </w:t>
      </w:r>
      <w:proofErr w:type="gramStart"/>
      <w:r w:rsidR="00A90CBF">
        <w:rPr>
          <w:rFonts w:ascii="Times New Roman" w:hAnsi="Times New Roman"/>
          <w:b/>
          <w:sz w:val="24"/>
        </w:rPr>
        <w:t>в</w:t>
      </w:r>
      <w:proofErr w:type="gramEnd"/>
      <w:r w:rsidR="00A90CBF">
        <w:rPr>
          <w:rFonts w:ascii="Times New Roman" w:hAnsi="Times New Roman"/>
          <w:b/>
          <w:sz w:val="24"/>
        </w:rPr>
        <w:t xml:space="preserve"> % </w:t>
      </w:r>
      <w:r w:rsidR="007357ED">
        <w:rPr>
          <w:noProof/>
          <w:lang w:eastAsia="ru-RU"/>
        </w:rPr>
        <w:t xml:space="preserve"> </w:t>
      </w:r>
    </w:p>
    <w:p w:rsidR="00471984" w:rsidRDefault="007357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585735" wp14:editId="6D164832">
            <wp:extent cx="5940425" cy="4025665"/>
            <wp:effectExtent l="0" t="0" r="22225" b="133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  <w:r w:rsidR="00471984">
        <w:rPr>
          <w:rFonts w:ascii="Times New Roman" w:hAnsi="Times New Roman"/>
          <w:b/>
          <w:sz w:val="24"/>
          <w:szCs w:val="24"/>
        </w:rPr>
        <w:br w:type="page"/>
      </w:r>
    </w:p>
    <w:p w:rsidR="00FF7E02" w:rsidRPr="00BB0793" w:rsidRDefault="00FF7E02" w:rsidP="00FF7E02">
      <w:pPr>
        <w:rPr>
          <w:rFonts w:ascii="Times New Roman" w:hAnsi="Times New Roman"/>
          <w:b/>
          <w:sz w:val="24"/>
          <w:szCs w:val="24"/>
        </w:rPr>
      </w:pPr>
      <w:r w:rsidRPr="00471984">
        <w:rPr>
          <w:rFonts w:ascii="Times New Roman" w:hAnsi="Times New Roman"/>
          <w:b/>
          <w:sz w:val="28"/>
          <w:szCs w:val="24"/>
        </w:rPr>
        <w:lastRenderedPageBreak/>
        <w:t xml:space="preserve">ПИИ в </w:t>
      </w:r>
      <w:proofErr w:type="spellStart"/>
      <w:r w:rsidRPr="00471984">
        <w:rPr>
          <w:rFonts w:ascii="Times New Roman" w:hAnsi="Times New Roman"/>
          <w:b/>
          <w:sz w:val="28"/>
          <w:szCs w:val="24"/>
        </w:rPr>
        <w:t>тыс</w:t>
      </w:r>
      <w:proofErr w:type="gramStart"/>
      <w:r w:rsidRPr="00471984">
        <w:rPr>
          <w:rFonts w:ascii="Times New Roman" w:hAnsi="Times New Roman"/>
          <w:b/>
          <w:sz w:val="28"/>
          <w:szCs w:val="24"/>
        </w:rPr>
        <w:t>.д</w:t>
      </w:r>
      <w:proofErr w:type="gramEnd"/>
      <w:r w:rsidRPr="00471984">
        <w:rPr>
          <w:rFonts w:ascii="Times New Roman" w:hAnsi="Times New Roman"/>
          <w:b/>
          <w:sz w:val="28"/>
          <w:szCs w:val="24"/>
        </w:rPr>
        <w:t>олл</w:t>
      </w:r>
      <w:proofErr w:type="spellEnd"/>
      <w:r w:rsidRPr="00471984">
        <w:rPr>
          <w:rFonts w:ascii="Times New Roman" w:hAnsi="Times New Roman"/>
          <w:b/>
          <w:sz w:val="28"/>
          <w:szCs w:val="24"/>
        </w:rPr>
        <w:t>. США по регионам за 201</w:t>
      </w:r>
      <w:r w:rsidR="00471984" w:rsidRPr="00471984">
        <w:rPr>
          <w:rFonts w:ascii="Times New Roman" w:hAnsi="Times New Roman"/>
          <w:b/>
          <w:sz w:val="28"/>
          <w:szCs w:val="24"/>
        </w:rPr>
        <w:t>6</w:t>
      </w:r>
      <w:r w:rsidRPr="00471984">
        <w:rPr>
          <w:rFonts w:ascii="Times New Roman" w:hAnsi="Times New Roman"/>
          <w:b/>
          <w:sz w:val="28"/>
          <w:szCs w:val="24"/>
        </w:rPr>
        <w:t xml:space="preserve"> год</w:t>
      </w:r>
      <w:r w:rsidR="00471984" w:rsidRPr="00471984">
        <w:rPr>
          <w:rFonts w:ascii="Times New Roman" w:hAnsi="Times New Roman"/>
          <w:b/>
          <w:sz w:val="28"/>
          <w:szCs w:val="24"/>
        </w:rPr>
        <w:t xml:space="preserve"> </w:t>
      </w:r>
    </w:p>
    <w:p w:rsidR="00FF7E02" w:rsidRDefault="00FF7E02" w:rsidP="00FF7E0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C41B763" wp14:editId="5025130D">
            <wp:extent cx="5834025" cy="3633849"/>
            <wp:effectExtent l="19050" t="0" r="14325" b="4701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7E02" w:rsidRDefault="00FF7E02" w:rsidP="00FF7E02"/>
    <w:p w:rsidR="00FF7E02" w:rsidRPr="00B5430C" w:rsidRDefault="00471984" w:rsidP="00FF7E02">
      <w:pPr>
        <w:rPr>
          <w:rFonts w:ascii="Times New Roman" w:hAnsi="Times New Roman"/>
          <w:b/>
          <w:sz w:val="24"/>
        </w:rPr>
      </w:pPr>
      <w:r w:rsidRPr="00471984">
        <w:rPr>
          <w:rFonts w:ascii="Times New Roman" w:hAnsi="Times New Roman"/>
          <w:b/>
          <w:sz w:val="28"/>
        </w:rPr>
        <w:t xml:space="preserve">Доля ПИИ по странам за  2016 г </w:t>
      </w:r>
    </w:p>
    <w:p w:rsidR="00FF7E02" w:rsidRDefault="007357ED" w:rsidP="00FF7E02">
      <w:r w:rsidRPr="000644BF">
        <w:rPr>
          <w:noProof/>
          <w:lang w:eastAsia="ru-RU"/>
        </w:rPr>
        <w:drawing>
          <wp:inline distT="0" distB="0" distL="0" distR="0" wp14:anchorId="7050748C" wp14:editId="59941E3C">
            <wp:extent cx="5934075" cy="3057525"/>
            <wp:effectExtent l="0" t="0" r="9525" b="9525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7E02" w:rsidRPr="00492603" w:rsidRDefault="00FF7E02" w:rsidP="00FF7E02">
      <w:pPr>
        <w:rPr>
          <w:lang w:val="ky-KG"/>
        </w:rPr>
      </w:pPr>
    </w:p>
    <w:p w:rsidR="00FF7E02" w:rsidRPr="00492603" w:rsidRDefault="00FF7E02">
      <w:pPr>
        <w:rPr>
          <w:lang w:val="ky-KG"/>
        </w:rPr>
      </w:pPr>
    </w:p>
    <w:sectPr w:rsidR="00FF7E02" w:rsidRPr="0049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C"/>
    <w:rsid w:val="0000223A"/>
    <w:rsid w:val="00010AE9"/>
    <w:rsid w:val="00043599"/>
    <w:rsid w:val="000454FA"/>
    <w:rsid w:val="00065DC3"/>
    <w:rsid w:val="00081B07"/>
    <w:rsid w:val="000A665D"/>
    <w:rsid w:val="000D3599"/>
    <w:rsid w:val="000D42C5"/>
    <w:rsid w:val="000D7A9B"/>
    <w:rsid w:val="000E31DB"/>
    <w:rsid w:val="00101A46"/>
    <w:rsid w:val="001251A0"/>
    <w:rsid w:val="00152C6C"/>
    <w:rsid w:val="001546A2"/>
    <w:rsid w:val="001816CD"/>
    <w:rsid w:val="00183626"/>
    <w:rsid w:val="00191288"/>
    <w:rsid w:val="0019471E"/>
    <w:rsid w:val="00197A70"/>
    <w:rsid w:val="001A3851"/>
    <w:rsid w:val="001B1805"/>
    <w:rsid w:val="001C7494"/>
    <w:rsid w:val="001E2513"/>
    <w:rsid w:val="001F4E87"/>
    <w:rsid w:val="002003E5"/>
    <w:rsid w:val="00202D43"/>
    <w:rsid w:val="00216811"/>
    <w:rsid w:val="002269D5"/>
    <w:rsid w:val="00250DB6"/>
    <w:rsid w:val="00251BBD"/>
    <w:rsid w:val="00252FC4"/>
    <w:rsid w:val="0028321F"/>
    <w:rsid w:val="002C5195"/>
    <w:rsid w:val="002E3F02"/>
    <w:rsid w:val="002F598D"/>
    <w:rsid w:val="003553C6"/>
    <w:rsid w:val="00355A65"/>
    <w:rsid w:val="00372967"/>
    <w:rsid w:val="00386153"/>
    <w:rsid w:val="003A237E"/>
    <w:rsid w:val="003A249D"/>
    <w:rsid w:val="003D1065"/>
    <w:rsid w:val="003E033C"/>
    <w:rsid w:val="00402724"/>
    <w:rsid w:val="004103B2"/>
    <w:rsid w:val="00410F3C"/>
    <w:rsid w:val="004549CF"/>
    <w:rsid w:val="0045544B"/>
    <w:rsid w:val="00471984"/>
    <w:rsid w:val="004837F6"/>
    <w:rsid w:val="00483C3B"/>
    <w:rsid w:val="00492603"/>
    <w:rsid w:val="004A1868"/>
    <w:rsid w:val="004A1CA6"/>
    <w:rsid w:val="004B36BD"/>
    <w:rsid w:val="004B3F48"/>
    <w:rsid w:val="004B5932"/>
    <w:rsid w:val="00533CDA"/>
    <w:rsid w:val="00537C23"/>
    <w:rsid w:val="00571A7A"/>
    <w:rsid w:val="00577D10"/>
    <w:rsid w:val="005857E3"/>
    <w:rsid w:val="00591096"/>
    <w:rsid w:val="005C2FF8"/>
    <w:rsid w:val="005C3F9F"/>
    <w:rsid w:val="00600F7B"/>
    <w:rsid w:val="00601CD8"/>
    <w:rsid w:val="006226CE"/>
    <w:rsid w:val="006551AC"/>
    <w:rsid w:val="0065522C"/>
    <w:rsid w:val="00661314"/>
    <w:rsid w:val="00676AB9"/>
    <w:rsid w:val="006806DF"/>
    <w:rsid w:val="00693648"/>
    <w:rsid w:val="00693BE5"/>
    <w:rsid w:val="0069579A"/>
    <w:rsid w:val="006A1BE7"/>
    <w:rsid w:val="006B2511"/>
    <w:rsid w:val="006B6B9A"/>
    <w:rsid w:val="00706F8D"/>
    <w:rsid w:val="007169FA"/>
    <w:rsid w:val="007357ED"/>
    <w:rsid w:val="00751CFC"/>
    <w:rsid w:val="00780D00"/>
    <w:rsid w:val="007E1A91"/>
    <w:rsid w:val="00815E2F"/>
    <w:rsid w:val="0084257C"/>
    <w:rsid w:val="00855D8C"/>
    <w:rsid w:val="008606AB"/>
    <w:rsid w:val="00873D32"/>
    <w:rsid w:val="0087679B"/>
    <w:rsid w:val="008C7567"/>
    <w:rsid w:val="008F121A"/>
    <w:rsid w:val="00907865"/>
    <w:rsid w:val="00907931"/>
    <w:rsid w:val="009204F4"/>
    <w:rsid w:val="0092560D"/>
    <w:rsid w:val="00940FA6"/>
    <w:rsid w:val="0094677E"/>
    <w:rsid w:val="00947AC8"/>
    <w:rsid w:val="009910BB"/>
    <w:rsid w:val="009A267F"/>
    <w:rsid w:val="009A2C69"/>
    <w:rsid w:val="009F171A"/>
    <w:rsid w:val="00A11FE5"/>
    <w:rsid w:val="00A248F3"/>
    <w:rsid w:val="00A33A3D"/>
    <w:rsid w:val="00A4106F"/>
    <w:rsid w:val="00A43740"/>
    <w:rsid w:val="00A87F47"/>
    <w:rsid w:val="00A90CBF"/>
    <w:rsid w:val="00A92246"/>
    <w:rsid w:val="00AA1D73"/>
    <w:rsid w:val="00AD68DC"/>
    <w:rsid w:val="00AE7E01"/>
    <w:rsid w:val="00AF1AA3"/>
    <w:rsid w:val="00B03FA1"/>
    <w:rsid w:val="00B131CB"/>
    <w:rsid w:val="00B52B45"/>
    <w:rsid w:val="00B761E5"/>
    <w:rsid w:val="00B92E5D"/>
    <w:rsid w:val="00B93D7D"/>
    <w:rsid w:val="00BC4A5E"/>
    <w:rsid w:val="00BF4518"/>
    <w:rsid w:val="00BF7BB8"/>
    <w:rsid w:val="00C03769"/>
    <w:rsid w:val="00C06952"/>
    <w:rsid w:val="00C07B31"/>
    <w:rsid w:val="00C3047F"/>
    <w:rsid w:val="00C513E9"/>
    <w:rsid w:val="00C9236B"/>
    <w:rsid w:val="00C941C9"/>
    <w:rsid w:val="00CB10C3"/>
    <w:rsid w:val="00CB554E"/>
    <w:rsid w:val="00CD362F"/>
    <w:rsid w:val="00CD3D22"/>
    <w:rsid w:val="00D0245F"/>
    <w:rsid w:val="00D139DD"/>
    <w:rsid w:val="00D259EE"/>
    <w:rsid w:val="00D26996"/>
    <w:rsid w:val="00D3025A"/>
    <w:rsid w:val="00D42B4B"/>
    <w:rsid w:val="00D502A8"/>
    <w:rsid w:val="00D610C1"/>
    <w:rsid w:val="00D83B98"/>
    <w:rsid w:val="00D938A9"/>
    <w:rsid w:val="00DB2944"/>
    <w:rsid w:val="00DC320F"/>
    <w:rsid w:val="00DE62D9"/>
    <w:rsid w:val="00DF7FEF"/>
    <w:rsid w:val="00E07969"/>
    <w:rsid w:val="00E11537"/>
    <w:rsid w:val="00E3292A"/>
    <w:rsid w:val="00E45EBE"/>
    <w:rsid w:val="00E5364A"/>
    <w:rsid w:val="00E91880"/>
    <w:rsid w:val="00EA6681"/>
    <w:rsid w:val="00EA669F"/>
    <w:rsid w:val="00EC7A63"/>
    <w:rsid w:val="00EE0F3D"/>
    <w:rsid w:val="00EE523E"/>
    <w:rsid w:val="00EE62F7"/>
    <w:rsid w:val="00F1115A"/>
    <w:rsid w:val="00F14ACF"/>
    <w:rsid w:val="00F334E1"/>
    <w:rsid w:val="00F43892"/>
    <w:rsid w:val="00F57823"/>
    <w:rsid w:val="00F809F2"/>
    <w:rsid w:val="00FA1CE2"/>
    <w:rsid w:val="00FA651C"/>
    <w:rsid w:val="00FA7290"/>
    <w:rsid w:val="00FB3E08"/>
    <w:rsid w:val="00FC2AF2"/>
    <w:rsid w:val="00FE5445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C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5D"/>
    <w:pPr>
      <w:widowControl w:val="0"/>
      <w:jc w:val="both"/>
    </w:pPr>
    <w:rPr>
      <w:rFonts w:eastAsiaTheme="minorEastAsia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84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7C"/>
    <w:rPr>
      <w:rFonts w:ascii="Tahoma" w:eastAsia="Calibr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C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5D"/>
    <w:pPr>
      <w:widowControl w:val="0"/>
      <w:jc w:val="both"/>
    </w:pPr>
    <w:rPr>
      <w:rFonts w:eastAsiaTheme="minorEastAsia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84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7C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696947054506247E-2"/>
          <c:y val="3.3541039020044648E-2"/>
          <c:w val="0.90116824592841416"/>
          <c:h val="0.83639864743515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849</c:v>
                </c:pt>
                <c:pt idx="1">
                  <c:v>591</c:v>
                </c:pt>
                <c:pt idx="2">
                  <c:v>964</c:v>
                </c:pt>
                <c:pt idx="3">
                  <c:v>727</c:v>
                </c:pt>
                <c:pt idx="4">
                  <c:v>1573</c:v>
                </c:pt>
                <c:pt idx="5">
                  <c:v>814</c:v>
                </c:pt>
                <c:pt idx="6">
                  <c:v>590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694</c:v>
                </c:pt>
                <c:pt idx="1">
                  <c:v>293</c:v>
                </c:pt>
                <c:pt idx="2">
                  <c:v>758</c:v>
                </c:pt>
                <c:pt idx="3">
                  <c:v>248</c:v>
                </c:pt>
                <c:pt idx="4">
                  <c:v>1141</c:v>
                </c:pt>
                <c:pt idx="5">
                  <c:v>616</c:v>
                </c:pt>
                <c:pt idx="6">
                  <c:v>496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20480"/>
        <c:axId val="157184000"/>
      </c:barChart>
      <c:catAx>
        <c:axId val="15202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184000"/>
        <c:crosses val="autoZero"/>
        <c:auto val="1"/>
        <c:lblAlgn val="ctr"/>
        <c:lblOffset val="100"/>
        <c:noMultiLvlLbl val="0"/>
      </c:catAx>
      <c:valAx>
        <c:axId val="15718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020480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63"/>
          <c:y val="0.91665146240424122"/>
          <c:w val="0.85871084632119321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042513824527916"/>
          <c:y val="0.11899706392633125"/>
          <c:w val="0.61190872672016472"/>
          <c:h val="0.812853329774456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4.5628184036804013E-2"/>
                  <c:y val="7.14008630277147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Обрабатывающее производство; 56,4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116738606641662E-2"/>
                  <c:y val="0.302959884310796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6089645812248E-2"/>
                  <c:y val="0.206974911438239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544426505550186"/>
                  <c:y val="0.1229351215998153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280198812928487"/>
                  <c:y val="-3.18890529237192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8545923386370963E-2"/>
                  <c:y val="-0.10263445882823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031165362702867"/>
                  <c:y val="-8.26002046354375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Обрабатывающее производство</c:v>
                </c:pt>
                <c:pt idx="1">
                  <c:v>Финансовая деятельность</c:v>
                </c:pt>
                <c:pt idx="2">
                  <c:v>Профессиональная,научная и техническая деятельность</c:v>
                </c:pt>
                <c:pt idx="3">
                  <c:v>Оптовая и розничная торговля, ремонт автомобилей и мотоциклов</c:v>
                </c:pt>
                <c:pt idx="4">
                  <c:v>Добыча полезных</c:v>
                </c:pt>
                <c:pt idx="5">
                  <c:v>Информация и связь 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47.2</c:v>
                </c:pt>
                <c:pt idx="1">
                  <c:v>13.1</c:v>
                </c:pt>
                <c:pt idx="2">
                  <c:v>21.3</c:v>
                </c:pt>
                <c:pt idx="3">
                  <c:v>5.5</c:v>
                </c:pt>
                <c:pt idx="4">
                  <c:v>9.3000000000000007</c:v>
                </c:pt>
                <c:pt idx="5">
                  <c:v>2.6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8888888888889"/>
          <c:y val="0.23328990126234223"/>
          <c:w val="0.82407407407407429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0.103174603174603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574074074074076"/>
                  <c:y val="-8.73015873015872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9E-2"/>
                  <c:y val="0.115079365079365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814814814814811E-2"/>
                  <c:y val="7.53968253968254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555555555555539E-2"/>
                  <c:y val="-7.93650793650793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879629629629631"/>
                  <c:y val="-8.33333333333333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4583333333333331"/>
                  <c:y val="-0.11111111111111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0.119047619047619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Джалал-Абад</c:v>
                </c:pt>
                <c:pt idx="1">
                  <c:v>Талас</c:v>
                </c:pt>
                <c:pt idx="2">
                  <c:v>г. Бишкек</c:v>
                </c:pt>
                <c:pt idx="3">
                  <c:v>Нарын</c:v>
                </c:pt>
                <c:pt idx="4">
                  <c:v>Иссык-куль</c:v>
                </c:pt>
                <c:pt idx="5">
                  <c:v>Чуй</c:v>
                </c:pt>
                <c:pt idx="6">
                  <c:v>Баткен</c:v>
                </c:pt>
                <c:pt idx="7">
                  <c:v>Ош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89.4</c:v>
                </c:pt>
                <c:pt idx="1">
                  <c:v>0.5</c:v>
                </c:pt>
                <c:pt idx="2">
                  <c:v>188.7</c:v>
                </c:pt>
                <c:pt idx="3">
                  <c:v>0.3</c:v>
                </c:pt>
                <c:pt idx="4">
                  <c:v>139.5</c:v>
                </c:pt>
                <c:pt idx="5">
                  <c:v>163.6</c:v>
                </c:pt>
                <c:pt idx="6">
                  <c:v>4.9000000000000004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стран в структуре поступления ПИИ за 2017 г. </a:t>
            </a:r>
            <a:r>
              <a:rPr lang="ru-RU" sz="1400"/>
              <a:t>в %</a:t>
            </a:r>
          </a:p>
        </c:rich>
      </c:tx>
      <c:layout>
        <c:manualLayout>
          <c:xMode val="edge"/>
          <c:yMode val="edge"/>
          <c:x val="0.11799523137960742"/>
          <c:y val="2.498750624687656E-2"/>
        </c:manualLayout>
      </c:layout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944274934383205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661247812773411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21504082822980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202318460192479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28494094488188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66021434820656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95177165354336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045348498104412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69575678040244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575131233595800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7935622630504523E-2"/>
                  <c:y val="3.968253968253972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0"/>
                <c:pt idx="0">
                  <c:v>Китай</c:v>
                </c:pt>
                <c:pt idx="1">
                  <c:v>Канада</c:v>
                </c:pt>
                <c:pt idx="2">
                  <c:v>Казахстан</c:v>
                </c:pt>
                <c:pt idx="3">
                  <c:v>Великобритания</c:v>
                </c:pt>
                <c:pt idx="4">
                  <c:v>Россия</c:v>
                </c:pt>
                <c:pt idx="5">
                  <c:v>ОАЭ</c:v>
                </c:pt>
                <c:pt idx="6">
                  <c:v>Турция</c:v>
                </c:pt>
                <c:pt idx="7">
                  <c:v>Япония</c:v>
                </c:pt>
                <c:pt idx="8">
                  <c:v>Кипр</c:v>
                </c:pt>
                <c:pt idx="9">
                  <c:v>Другие страны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45.7</c:v>
                </c:pt>
                <c:pt idx="1">
                  <c:v>20</c:v>
                </c:pt>
                <c:pt idx="2">
                  <c:v>8.1</c:v>
                </c:pt>
                <c:pt idx="3">
                  <c:v>4.8</c:v>
                </c:pt>
                <c:pt idx="4">
                  <c:v>4</c:v>
                </c:pt>
                <c:pt idx="5">
                  <c:v>3.8</c:v>
                </c:pt>
                <c:pt idx="6">
                  <c:v>2.9</c:v>
                </c:pt>
                <c:pt idx="7">
                  <c:v>2.7</c:v>
                </c:pt>
                <c:pt idx="8">
                  <c:v>1.4</c:v>
                </c:pt>
                <c:pt idx="9">
                  <c:v>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089408"/>
        <c:axId val="117090944"/>
      </c:barChart>
      <c:catAx>
        <c:axId val="117089408"/>
        <c:scaling>
          <c:orientation val="minMax"/>
        </c:scaling>
        <c:delete val="0"/>
        <c:axPos val="l"/>
        <c:majorTickMark val="out"/>
        <c:minorTickMark val="none"/>
        <c:tickLblPos val="nextTo"/>
        <c:crossAx val="117090944"/>
        <c:crosses val="autoZero"/>
        <c:auto val="1"/>
        <c:lblAlgn val="ctr"/>
        <c:lblOffset val="100"/>
        <c:noMultiLvlLbl val="0"/>
      </c:catAx>
      <c:valAx>
        <c:axId val="117090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0894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96947054506178E-2"/>
          <c:y val="3.3541039020044648E-2"/>
          <c:w val="0.90116824592841416"/>
          <c:h val="0.83639864743515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849</c:v>
                </c:pt>
                <c:pt idx="1">
                  <c:v>591</c:v>
                </c:pt>
                <c:pt idx="2">
                  <c:v>964</c:v>
                </c:pt>
                <c:pt idx="3">
                  <c:v>727</c:v>
                </c:pt>
                <c:pt idx="4">
                  <c:v>1573</c:v>
                </c:pt>
                <c:pt idx="5">
                  <c:v>814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694</c:v>
                </c:pt>
                <c:pt idx="1">
                  <c:v>293</c:v>
                </c:pt>
                <c:pt idx="2">
                  <c:v>758</c:v>
                </c:pt>
                <c:pt idx="3">
                  <c:v>248</c:v>
                </c:pt>
                <c:pt idx="4">
                  <c:v>1141</c:v>
                </c:pt>
                <c:pt idx="5">
                  <c:v>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99392"/>
        <c:axId val="131900928"/>
      </c:barChart>
      <c:catAx>
        <c:axId val="13189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900928"/>
        <c:crosses val="autoZero"/>
        <c:auto val="1"/>
        <c:lblAlgn val="ctr"/>
        <c:lblOffset val="100"/>
        <c:noMultiLvlLbl val="0"/>
      </c:catAx>
      <c:valAx>
        <c:axId val="13190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899392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79"/>
          <c:y val="0.91665146240424078"/>
          <c:w val="0.85871084632119232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042513824527916"/>
          <c:y val="0.11899706392633125"/>
          <c:w val="0.61190872672016472"/>
          <c:h val="0.812853329774456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4.5628184036804013E-2"/>
                  <c:y val="7.14008630277147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811383624893778"/>
                  <c:y val="-3.107366875750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5414610255057834E-2"/>
                  <c:y val="6.47014991770096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320092763524178E-2"/>
                  <c:y val="0.1353067307264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28019105267344"/>
                  <c:y val="5.7805062502780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8545923386370963E-2"/>
                  <c:y val="-0.10263445882823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031165362702867"/>
                  <c:y val="-8.26002046354375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Обрабатывающее производство</c:v>
                </c:pt>
                <c:pt idx="1">
                  <c:v>Финансовая деятельность</c:v>
                </c:pt>
                <c:pt idx="2">
                  <c:v>Профессиональная,научная и техническая деятельность</c:v>
                </c:pt>
                <c:pt idx="3">
                  <c:v>Обеспечение электроэнергией, газом, паром</c:v>
                </c:pt>
                <c:pt idx="4">
                  <c:v>Добыча полезных</c:v>
                </c:pt>
                <c:pt idx="5">
                  <c:v>Строительство 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30.8</c:v>
                </c:pt>
                <c:pt idx="1">
                  <c:v>22</c:v>
                </c:pt>
                <c:pt idx="2">
                  <c:v>20.3</c:v>
                </c:pt>
                <c:pt idx="3">
                  <c:v>15</c:v>
                </c:pt>
                <c:pt idx="4">
                  <c:v>6.7</c:v>
                </c:pt>
                <c:pt idx="5">
                  <c:v>3.1</c:v>
                </c:pt>
                <c:pt idx="6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8888888888889"/>
          <c:y val="0.23328990126234223"/>
          <c:w val="0.82407407407407429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0.103174603174603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574074074074076"/>
                  <c:y val="-8.73015873015872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9E-2"/>
                  <c:y val="0.115079365079365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814814814814811E-2"/>
                  <c:y val="7.53968253968254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555555555555539E-2"/>
                  <c:y val="-7.93650793650793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0879629629629631"/>
                  <c:y val="-8.33333333333333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4583333333333331"/>
                  <c:y val="-0.11111111111111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19047619047619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Джалал-Абад</c:v>
                </c:pt>
                <c:pt idx="1">
                  <c:v>Талас</c:v>
                </c:pt>
                <c:pt idx="2">
                  <c:v>г. Бишкек</c:v>
                </c:pt>
                <c:pt idx="3">
                  <c:v>Нарын</c:v>
                </c:pt>
                <c:pt idx="4">
                  <c:v>Иссык-куль</c:v>
                </c:pt>
                <c:pt idx="5">
                  <c:v>Чуй</c:v>
                </c:pt>
                <c:pt idx="6">
                  <c:v>Баткен</c:v>
                </c:pt>
                <c:pt idx="7">
                  <c:v>Ош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96.2</c:v>
                </c:pt>
                <c:pt idx="1">
                  <c:v>12.7</c:v>
                </c:pt>
                <c:pt idx="2">
                  <c:v>385.7</c:v>
                </c:pt>
                <c:pt idx="3">
                  <c:v>0.8</c:v>
                </c:pt>
                <c:pt idx="4">
                  <c:v>96.7</c:v>
                </c:pt>
                <c:pt idx="5">
                  <c:v>209.4</c:v>
                </c:pt>
                <c:pt idx="6">
                  <c:v>9.4</c:v>
                </c:pt>
                <c:pt idx="7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стран в структуре поступления ПИИ 2016 </a:t>
            </a:r>
            <a:r>
              <a:rPr lang="ru-RU" sz="1400"/>
              <a:t>г. в %</a:t>
            </a:r>
          </a:p>
        </c:rich>
      </c:tx>
      <c:layout>
        <c:manualLayout>
          <c:xMode val="edge"/>
          <c:yMode val="edge"/>
          <c:x val="0.11799523137960742"/>
          <c:y val="2.498750624687656E-2"/>
        </c:manualLayout>
      </c:layout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944274934383205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661247812773411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21504082822980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202318460192479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28494094488188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66021434820656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95177165354336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045348498104412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69575678040244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575131233595800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7935622630504523E-2"/>
                  <c:y val="3.968253968253972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Китай</c:v>
                </c:pt>
                <c:pt idx="1">
                  <c:v>Россия</c:v>
                </c:pt>
                <c:pt idx="2">
                  <c:v>Канада</c:v>
                </c:pt>
                <c:pt idx="3">
                  <c:v>Турция</c:v>
                </c:pt>
                <c:pt idx="4">
                  <c:v>Казахстан</c:v>
                </c:pt>
                <c:pt idx="5">
                  <c:v>Кипр</c:v>
                </c:pt>
                <c:pt idx="6">
                  <c:v>Нидерланды</c:v>
                </c:pt>
                <c:pt idx="7">
                  <c:v>Другие страны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</c:v>
                </c:pt>
                <c:pt idx="1">
                  <c:v>35.799999999999997</c:v>
                </c:pt>
                <c:pt idx="2">
                  <c:v>14.6</c:v>
                </c:pt>
                <c:pt idx="3">
                  <c:v>4.0999999999999996</c:v>
                </c:pt>
                <c:pt idx="4">
                  <c:v>2.9</c:v>
                </c:pt>
                <c:pt idx="5">
                  <c:v>1.9</c:v>
                </c:pt>
                <c:pt idx="6">
                  <c:v>1.2</c:v>
                </c:pt>
                <c:pt idx="7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175744"/>
        <c:axId val="132177280"/>
      </c:barChart>
      <c:catAx>
        <c:axId val="132175744"/>
        <c:scaling>
          <c:orientation val="minMax"/>
        </c:scaling>
        <c:delete val="0"/>
        <c:axPos val="l"/>
        <c:majorTickMark val="out"/>
        <c:minorTickMark val="none"/>
        <c:tickLblPos val="nextTo"/>
        <c:crossAx val="132177280"/>
        <c:crosses val="autoZero"/>
        <c:auto val="1"/>
        <c:lblAlgn val="ctr"/>
        <c:lblOffset val="100"/>
        <c:noMultiLvlLbl val="0"/>
      </c:catAx>
      <c:valAx>
        <c:axId val="132177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1757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sanjar.bolotov</dc:creator>
  <cp:lastModifiedBy>Мирлан Жаналиев</cp:lastModifiedBy>
  <cp:revision>2</cp:revision>
  <dcterms:created xsi:type="dcterms:W3CDTF">2018-04-02T12:58:00Z</dcterms:created>
  <dcterms:modified xsi:type="dcterms:W3CDTF">2018-04-02T12:58:00Z</dcterms:modified>
</cp:coreProperties>
</file>